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78C41887"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w:t>
      </w:r>
      <w:r w:rsidR="00873A15">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17525B">
        <w:rPr>
          <w:rFonts w:ascii="Calibri" w:hAnsi="Calibri" w:cs="Calibri"/>
          <w:b/>
          <w:bCs/>
          <w:color w:val="auto"/>
          <w:sz w:val="56"/>
          <w:szCs w:val="56"/>
          <w:lang w:val="en-AU"/>
        </w:rPr>
        <w:t>Incident Investigation</w:t>
      </w:r>
    </w:p>
    <w:p w14:paraId="40587032" w14:textId="77777777" w:rsidR="002F799F" w:rsidRPr="001B389B" w:rsidRDefault="002F799F" w:rsidP="001E65BB">
      <w:pPr>
        <w:pStyle w:val="TitleLevel3"/>
        <w:rPr>
          <w:rFonts w:ascii="Calibri" w:hAnsi="Calibri" w:cs="Calibri"/>
        </w:rPr>
      </w:pPr>
    </w:p>
    <w:p w14:paraId="37A0DF7E" w14:textId="3ED9C912"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w:t>
      </w:r>
      <w:r w:rsidR="00873A15">
        <w:rPr>
          <w:rFonts w:ascii="Calibri" w:hAnsi="Calibri" w:cs="Calibri"/>
          <w:sz w:val="28"/>
          <w:szCs w:val="32"/>
        </w:rPr>
        <w:t>TD</w:t>
      </w:r>
      <w:r w:rsidR="006111E5">
        <w:rPr>
          <w:rFonts w:ascii="Calibri" w:hAnsi="Calibri" w:cs="Calibri"/>
          <w:sz w:val="28"/>
          <w:szCs w:val="32"/>
        </w:rPr>
        <w:t>-</w:t>
      </w:r>
      <w:r w:rsidR="00873A15">
        <w:rPr>
          <w:rFonts w:ascii="Calibri" w:hAnsi="Calibri" w:cs="Calibri"/>
          <w:sz w:val="28"/>
          <w:szCs w:val="32"/>
        </w:rPr>
        <w:t>0</w:t>
      </w:r>
      <w:r w:rsidR="0017525B">
        <w:rPr>
          <w:rFonts w:ascii="Calibri" w:hAnsi="Calibri" w:cs="Calibri"/>
          <w:sz w:val="28"/>
          <w:szCs w:val="32"/>
        </w:rPr>
        <w:t>10</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78030DB5" w14:textId="16ABAE0F" w:rsidR="00346EC7"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368" w:history="1">
        <w:r w:rsidR="00346EC7" w:rsidRPr="00985671">
          <w:rPr>
            <w:rStyle w:val="Hyperlink"/>
            <w:rFonts w:cstheme="minorHAnsi"/>
          </w:rPr>
          <w:t>1.</w:t>
        </w:r>
        <w:r w:rsidR="00346EC7">
          <w:rPr>
            <w:rFonts w:asciiTheme="minorHAnsi" w:eastAsiaTheme="minorEastAsia" w:hAnsiTheme="minorHAnsi" w:cstheme="minorBidi"/>
            <w:b w:val="0"/>
            <w:caps w:val="0"/>
            <w:szCs w:val="22"/>
          </w:rPr>
          <w:tab/>
        </w:r>
        <w:r w:rsidR="00346EC7" w:rsidRPr="00985671">
          <w:rPr>
            <w:rStyle w:val="Hyperlink"/>
            <w:rFonts w:cstheme="minorHAnsi"/>
          </w:rPr>
          <w:t>Purpose</w:t>
        </w:r>
        <w:r w:rsidR="00346EC7">
          <w:rPr>
            <w:webHidden/>
          </w:rPr>
          <w:tab/>
        </w:r>
        <w:r w:rsidR="00346EC7">
          <w:rPr>
            <w:webHidden/>
          </w:rPr>
          <w:fldChar w:fldCharType="begin"/>
        </w:r>
        <w:r w:rsidR="00346EC7">
          <w:rPr>
            <w:webHidden/>
          </w:rPr>
          <w:instrText xml:space="preserve"> PAGEREF _Toc75784368 \h </w:instrText>
        </w:r>
        <w:r w:rsidR="00346EC7">
          <w:rPr>
            <w:webHidden/>
          </w:rPr>
        </w:r>
        <w:r w:rsidR="00346EC7">
          <w:rPr>
            <w:webHidden/>
          </w:rPr>
          <w:fldChar w:fldCharType="separate"/>
        </w:r>
        <w:r w:rsidR="00346EC7">
          <w:rPr>
            <w:webHidden/>
          </w:rPr>
          <w:t>3</w:t>
        </w:r>
        <w:r w:rsidR="00346EC7">
          <w:rPr>
            <w:webHidden/>
          </w:rPr>
          <w:fldChar w:fldCharType="end"/>
        </w:r>
      </w:hyperlink>
    </w:p>
    <w:p w14:paraId="2831C58D" w14:textId="54873455" w:rsidR="00346EC7" w:rsidRDefault="00346EC7">
      <w:pPr>
        <w:pStyle w:val="TOC1"/>
        <w:rPr>
          <w:rFonts w:asciiTheme="minorHAnsi" w:eastAsiaTheme="minorEastAsia" w:hAnsiTheme="minorHAnsi" w:cstheme="minorBidi"/>
          <w:b w:val="0"/>
          <w:caps w:val="0"/>
          <w:szCs w:val="22"/>
        </w:rPr>
      </w:pPr>
      <w:hyperlink w:anchor="_Toc75784369" w:history="1">
        <w:r w:rsidRPr="00985671">
          <w:rPr>
            <w:rStyle w:val="Hyperlink"/>
          </w:rPr>
          <w:t>2.</w:t>
        </w:r>
        <w:r>
          <w:rPr>
            <w:rFonts w:asciiTheme="minorHAnsi" w:eastAsiaTheme="minorEastAsia" w:hAnsiTheme="minorHAnsi" w:cstheme="minorBidi"/>
            <w:b w:val="0"/>
            <w:caps w:val="0"/>
            <w:szCs w:val="22"/>
          </w:rPr>
          <w:tab/>
        </w:r>
        <w:r w:rsidRPr="00985671">
          <w:rPr>
            <w:rStyle w:val="Hyperlink"/>
          </w:rPr>
          <w:t>PURPOSE</w:t>
        </w:r>
        <w:r>
          <w:rPr>
            <w:webHidden/>
          </w:rPr>
          <w:tab/>
        </w:r>
        <w:r>
          <w:rPr>
            <w:webHidden/>
          </w:rPr>
          <w:fldChar w:fldCharType="begin"/>
        </w:r>
        <w:r>
          <w:rPr>
            <w:webHidden/>
          </w:rPr>
          <w:instrText xml:space="preserve"> PAGEREF _Toc75784369 \h </w:instrText>
        </w:r>
        <w:r>
          <w:rPr>
            <w:webHidden/>
          </w:rPr>
        </w:r>
        <w:r>
          <w:rPr>
            <w:webHidden/>
          </w:rPr>
          <w:fldChar w:fldCharType="separate"/>
        </w:r>
        <w:r>
          <w:rPr>
            <w:webHidden/>
          </w:rPr>
          <w:t>3</w:t>
        </w:r>
        <w:r>
          <w:rPr>
            <w:webHidden/>
          </w:rPr>
          <w:fldChar w:fldCharType="end"/>
        </w:r>
      </w:hyperlink>
    </w:p>
    <w:p w14:paraId="1874822D" w14:textId="131E39E5" w:rsidR="00346EC7" w:rsidRDefault="00346EC7">
      <w:pPr>
        <w:pStyle w:val="TOC1"/>
        <w:rPr>
          <w:rFonts w:asciiTheme="minorHAnsi" w:eastAsiaTheme="minorEastAsia" w:hAnsiTheme="minorHAnsi" w:cstheme="minorBidi"/>
          <w:b w:val="0"/>
          <w:caps w:val="0"/>
          <w:szCs w:val="22"/>
        </w:rPr>
      </w:pPr>
      <w:hyperlink w:anchor="_Toc75784370" w:history="1">
        <w:r w:rsidRPr="00985671">
          <w:rPr>
            <w:rStyle w:val="Hyperlink"/>
          </w:rPr>
          <w:t>3.</w:t>
        </w:r>
        <w:r>
          <w:rPr>
            <w:rFonts w:asciiTheme="minorHAnsi" w:eastAsiaTheme="minorEastAsia" w:hAnsiTheme="minorHAnsi" w:cstheme="minorBidi"/>
            <w:b w:val="0"/>
            <w:caps w:val="0"/>
            <w:szCs w:val="22"/>
          </w:rPr>
          <w:tab/>
        </w:r>
        <w:r w:rsidRPr="00985671">
          <w:rPr>
            <w:rStyle w:val="Hyperlink"/>
          </w:rPr>
          <w:t>SCOPE</w:t>
        </w:r>
        <w:r>
          <w:rPr>
            <w:webHidden/>
          </w:rPr>
          <w:tab/>
        </w:r>
        <w:r>
          <w:rPr>
            <w:webHidden/>
          </w:rPr>
          <w:fldChar w:fldCharType="begin"/>
        </w:r>
        <w:r>
          <w:rPr>
            <w:webHidden/>
          </w:rPr>
          <w:instrText xml:space="preserve"> PAGEREF _Toc75784370 \h </w:instrText>
        </w:r>
        <w:r>
          <w:rPr>
            <w:webHidden/>
          </w:rPr>
        </w:r>
        <w:r>
          <w:rPr>
            <w:webHidden/>
          </w:rPr>
          <w:fldChar w:fldCharType="separate"/>
        </w:r>
        <w:r>
          <w:rPr>
            <w:webHidden/>
          </w:rPr>
          <w:t>3</w:t>
        </w:r>
        <w:r>
          <w:rPr>
            <w:webHidden/>
          </w:rPr>
          <w:fldChar w:fldCharType="end"/>
        </w:r>
      </w:hyperlink>
    </w:p>
    <w:p w14:paraId="48B2A48E" w14:textId="62F2C53C" w:rsidR="00346EC7" w:rsidRDefault="00346EC7">
      <w:pPr>
        <w:pStyle w:val="TOC1"/>
        <w:rPr>
          <w:rFonts w:asciiTheme="minorHAnsi" w:eastAsiaTheme="minorEastAsia" w:hAnsiTheme="minorHAnsi" w:cstheme="minorBidi"/>
          <w:b w:val="0"/>
          <w:caps w:val="0"/>
          <w:szCs w:val="22"/>
        </w:rPr>
      </w:pPr>
      <w:hyperlink w:anchor="_Toc75784371" w:history="1">
        <w:r w:rsidRPr="00985671">
          <w:rPr>
            <w:rStyle w:val="Hyperlink"/>
          </w:rPr>
          <w:t>4.</w:t>
        </w:r>
        <w:r>
          <w:rPr>
            <w:rFonts w:asciiTheme="minorHAnsi" w:eastAsiaTheme="minorEastAsia" w:hAnsiTheme="minorHAnsi" w:cstheme="minorBidi"/>
            <w:b w:val="0"/>
            <w:caps w:val="0"/>
            <w:szCs w:val="22"/>
          </w:rPr>
          <w:tab/>
        </w:r>
        <w:r w:rsidRPr="00985671">
          <w:rPr>
            <w:rStyle w:val="Hyperlink"/>
          </w:rPr>
          <w:t>AUTHORITY</w:t>
        </w:r>
        <w:r>
          <w:rPr>
            <w:webHidden/>
          </w:rPr>
          <w:tab/>
        </w:r>
        <w:r>
          <w:rPr>
            <w:webHidden/>
          </w:rPr>
          <w:fldChar w:fldCharType="begin"/>
        </w:r>
        <w:r>
          <w:rPr>
            <w:webHidden/>
          </w:rPr>
          <w:instrText xml:space="preserve"> PAGEREF _Toc75784371 \h </w:instrText>
        </w:r>
        <w:r>
          <w:rPr>
            <w:webHidden/>
          </w:rPr>
        </w:r>
        <w:r>
          <w:rPr>
            <w:webHidden/>
          </w:rPr>
          <w:fldChar w:fldCharType="separate"/>
        </w:r>
        <w:r>
          <w:rPr>
            <w:webHidden/>
          </w:rPr>
          <w:t>3</w:t>
        </w:r>
        <w:r>
          <w:rPr>
            <w:webHidden/>
          </w:rPr>
          <w:fldChar w:fldCharType="end"/>
        </w:r>
      </w:hyperlink>
    </w:p>
    <w:p w14:paraId="085FBBDF" w14:textId="02BEEBD1" w:rsidR="00346EC7" w:rsidRDefault="00346EC7">
      <w:pPr>
        <w:pStyle w:val="TOC1"/>
        <w:rPr>
          <w:rFonts w:asciiTheme="minorHAnsi" w:eastAsiaTheme="minorEastAsia" w:hAnsiTheme="minorHAnsi" w:cstheme="minorBidi"/>
          <w:b w:val="0"/>
          <w:caps w:val="0"/>
          <w:szCs w:val="22"/>
        </w:rPr>
      </w:pPr>
      <w:hyperlink w:anchor="_Toc75784372" w:history="1">
        <w:r w:rsidRPr="00985671">
          <w:rPr>
            <w:rStyle w:val="Hyperlink"/>
          </w:rPr>
          <w:t>5.</w:t>
        </w:r>
        <w:r>
          <w:rPr>
            <w:rFonts w:asciiTheme="minorHAnsi" w:eastAsiaTheme="minorEastAsia" w:hAnsiTheme="minorHAnsi" w:cstheme="minorBidi"/>
            <w:b w:val="0"/>
            <w:caps w:val="0"/>
            <w:szCs w:val="22"/>
          </w:rPr>
          <w:tab/>
        </w:r>
        <w:r w:rsidRPr="00985671">
          <w:rPr>
            <w:rStyle w:val="Hyperlink"/>
          </w:rPr>
          <w:t>RESPONSIBILITIES</w:t>
        </w:r>
        <w:r>
          <w:rPr>
            <w:webHidden/>
          </w:rPr>
          <w:tab/>
        </w:r>
        <w:r>
          <w:rPr>
            <w:webHidden/>
          </w:rPr>
          <w:fldChar w:fldCharType="begin"/>
        </w:r>
        <w:r>
          <w:rPr>
            <w:webHidden/>
          </w:rPr>
          <w:instrText xml:space="preserve"> PAGEREF _Toc75784372 \h </w:instrText>
        </w:r>
        <w:r>
          <w:rPr>
            <w:webHidden/>
          </w:rPr>
        </w:r>
        <w:r>
          <w:rPr>
            <w:webHidden/>
          </w:rPr>
          <w:fldChar w:fldCharType="separate"/>
        </w:r>
        <w:r>
          <w:rPr>
            <w:webHidden/>
          </w:rPr>
          <w:t>3</w:t>
        </w:r>
        <w:r>
          <w:rPr>
            <w:webHidden/>
          </w:rPr>
          <w:fldChar w:fldCharType="end"/>
        </w:r>
      </w:hyperlink>
    </w:p>
    <w:p w14:paraId="5BB71D25" w14:textId="445F1DE5" w:rsidR="00346EC7" w:rsidRDefault="00346EC7">
      <w:pPr>
        <w:pStyle w:val="TOC1"/>
        <w:rPr>
          <w:rFonts w:asciiTheme="minorHAnsi" w:eastAsiaTheme="minorEastAsia" w:hAnsiTheme="minorHAnsi" w:cstheme="minorBidi"/>
          <w:b w:val="0"/>
          <w:caps w:val="0"/>
          <w:szCs w:val="22"/>
        </w:rPr>
      </w:pPr>
      <w:hyperlink w:anchor="_Toc75784373" w:history="1">
        <w:r w:rsidRPr="00985671">
          <w:rPr>
            <w:rStyle w:val="Hyperlink"/>
          </w:rPr>
          <w:t>6.</w:t>
        </w:r>
        <w:r>
          <w:rPr>
            <w:rFonts w:asciiTheme="minorHAnsi" w:eastAsiaTheme="minorEastAsia" w:hAnsiTheme="minorHAnsi" w:cstheme="minorBidi"/>
            <w:b w:val="0"/>
            <w:caps w:val="0"/>
            <w:szCs w:val="22"/>
          </w:rPr>
          <w:tab/>
        </w:r>
        <w:r w:rsidRPr="00985671">
          <w:rPr>
            <w:rStyle w:val="Hyperlink"/>
          </w:rPr>
          <w:t>DEFINITIONS AND ABBREVIATIONS</w:t>
        </w:r>
        <w:r>
          <w:rPr>
            <w:webHidden/>
          </w:rPr>
          <w:tab/>
        </w:r>
        <w:r>
          <w:rPr>
            <w:webHidden/>
          </w:rPr>
          <w:fldChar w:fldCharType="begin"/>
        </w:r>
        <w:r>
          <w:rPr>
            <w:webHidden/>
          </w:rPr>
          <w:instrText xml:space="preserve"> PAGEREF _Toc75784373 \h </w:instrText>
        </w:r>
        <w:r>
          <w:rPr>
            <w:webHidden/>
          </w:rPr>
        </w:r>
        <w:r>
          <w:rPr>
            <w:webHidden/>
          </w:rPr>
          <w:fldChar w:fldCharType="separate"/>
        </w:r>
        <w:r>
          <w:rPr>
            <w:webHidden/>
          </w:rPr>
          <w:t>4</w:t>
        </w:r>
        <w:r>
          <w:rPr>
            <w:webHidden/>
          </w:rPr>
          <w:fldChar w:fldCharType="end"/>
        </w:r>
      </w:hyperlink>
    </w:p>
    <w:p w14:paraId="1AE60B0E" w14:textId="2E4DE72E" w:rsidR="00346EC7" w:rsidRDefault="00346EC7">
      <w:pPr>
        <w:pStyle w:val="TOC1"/>
        <w:rPr>
          <w:rFonts w:asciiTheme="minorHAnsi" w:eastAsiaTheme="minorEastAsia" w:hAnsiTheme="minorHAnsi" w:cstheme="minorBidi"/>
          <w:b w:val="0"/>
          <w:caps w:val="0"/>
          <w:szCs w:val="22"/>
        </w:rPr>
      </w:pPr>
      <w:hyperlink w:anchor="_Toc75784374" w:history="1">
        <w:r w:rsidRPr="00985671">
          <w:rPr>
            <w:rStyle w:val="Hyperlink"/>
          </w:rPr>
          <w:t>7.</w:t>
        </w:r>
        <w:r>
          <w:rPr>
            <w:rFonts w:asciiTheme="minorHAnsi" w:eastAsiaTheme="minorEastAsia" w:hAnsiTheme="minorHAnsi" w:cstheme="minorBidi"/>
            <w:b w:val="0"/>
            <w:caps w:val="0"/>
            <w:szCs w:val="22"/>
          </w:rPr>
          <w:tab/>
        </w:r>
        <w:r w:rsidRPr="00985671">
          <w:rPr>
            <w:rStyle w:val="Hyperlink"/>
          </w:rPr>
          <w:t>PROCESS</w:t>
        </w:r>
        <w:r>
          <w:rPr>
            <w:webHidden/>
          </w:rPr>
          <w:tab/>
        </w:r>
        <w:r>
          <w:rPr>
            <w:webHidden/>
          </w:rPr>
          <w:fldChar w:fldCharType="begin"/>
        </w:r>
        <w:r>
          <w:rPr>
            <w:webHidden/>
          </w:rPr>
          <w:instrText xml:space="preserve"> PAGEREF _Toc75784374 \h </w:instrText>
        </w:r>
        <w:r>
          <w:rPr>
            <w:webHidden/>
          </w:rPr>
        </w:r>
        <w:r>
          <w:rPr>
            <w:webHidden/>
          </w:rPr>
          <w:fldChar w:fldCharType="separate"/>
        </w:r>
        <w:r>
          <w:rPr>
            <w:webHidden/>
          </w:rPr>
          <w:t>5</w:t>
        </w:r>
        <w:r>
          <w:rPr>
            <w:webHidden/>
          </w:rPr>
          <w:fldChar w:fldCharType="end"/>
        </w:r>
      </w:hyperlink>
    </w:p>
    <w:p w14:paraId="0642E02C" w14:textId="2EC02379" w:rsidR="00346EC7" w:rsidRDefault="00346EC7">
      <w:pPr>
        <w:pStyle w:val="TOC1"/>
        <w:rPr>
          <w:rFonts w:asciiTheme="minorHAnsi" w:eastAsiaTheme="minorEastAsia" w:hAnsiTheme="minorHAnsi" w:cstheme="minorBidi"/>
          <w:b w:val="0"/>
          <w:caps w:val="0"/>
          <w:szCs w:val="22"/>
        </w:rPr>
      </w:pPr>
      <w:hyperlink w:anchor="_Toc75784375" w:history="1">
        <w:r w:rsidRPr="00985671">
          <w:rPr>
            <w:rStyle w:val="Hyperlink"/>
          </w:rPr>
          <w:t>8.</w:t>
        </w:r>
        <w:r>
          <w:rPr>
            <w:rFonts w:asciiTheme="minorHAnsi" w:eastAsiaTheme="minorEastAsia" w:hAnsiTheme="minorHAnsi" w:cstheme="minorBidi"/>
            <w:b w:val="0"/>
            <w:caps w:val="0"/>
            <w:szCs w:val="22"/>
          </w:rPr>
          <w:tab/>
        </w:r>
        <w:r w:rsidRPr="00985671">
          <w:rPr>
            <w:rStyle w:val="Hyperlink"/>
          </w:rPr>
          <w:t>Incident Severity Rating</w:t>
        </w:r>
        <w:r>
          <w:rPr>
            <w:webHidden/>
          </w:rPr>
          <w:tab/>
        </w:r>
        <w:r>
          <w:rPr>
            <w:webHidden/>
          </w:rPr>
          <w:fldChar w:fldCharType="begin"/>
        </w:r>
        <w:r>
          <w:rPr>
            <w:webHidden/>
          </w:rPr>
          <w:instrText xml:space="preserve"> PAGEREF _Toc75784375 \h </w:instrText>
        </w:r>
        <w:r>
          <w:rPr>
            <w:webHidden/>
          </w:rPr>
        </w:r>
        <w:r>
          <w:rPr>
            <w:webHidden/>
          </w:rPr>
          <w:fldChar w:fldCharType="separate"/>
        </w:r>
        <w:r>
          <w:rPr>
            <w:webHidden/>
          </w:rPr>
          <w:t>13</w:t>
        </w:r>
        <w:r>
          <w:rPr>
            <w:webHidden/>
          </w:rPr>
          <w:fldChar w:fldCharType="end"/>
        </w:r>
      </w:hyperlink>
    </w:p>
    <w:p w14:paraId="4E9EA16B" w14:textId="550CE41B" w:rsidR="00346EC7" w:rsidRDefault="00346EC7">
      <w:pPr>
        <w:pStyle w:val="TOC2"/>
        <w:rPr>
          <w:rFonts w:asciiTheme="minorHAnsi" w:eastAsiaTheme="minorEastAsia" w:hAnsiTheme="minorHAnsi" w:cstheme="minorBidi"/>
          <w:noProof/>
          <w:szCs w:val="22"/>
        </w:rPr>
      </w:pPr>
      <w:hyperlink w:anchor="_Toc75784376" w:history="1">
        <w:r w:rsidRPr="00985671">
          <w:rPr>
            <w:rStyle w:val="Hyperlink"/>
            <w:noProof/>
          </w:rPr>
          <w:t>8.1</w:t>
        </w:r>
        <w:r>
          <w:rPr>
            <w:rFonts w:asciiTheme="minorHAnsi" w:eastAsiaTheme="minorEastAsia" w:hAnsiTheme="minorHAnsi" w:cstheme="minorBidi"/>
            <w:noProof/>
            <w:szCs w:val="22"/>
          </w:rPr>
          <w:tab/>
        </w:r>
        <w:r w:rsidRPr="00985671">
          <w:rPr>
            <w:rStyle w:val="Hyperlink"/>
            <w:noProof/>
          </w:rPr>
          <w:t>Incident Reporting</w:t>
        </w:r>
        <w:r>
          <w:rPr>
            <w:noProof/>
            <w:webHidden/>
          </w:rPr>
          <w:tab/>
        </w:r>
        <w:r>
          <w:rPr>
            <w:noProof/>
            <w:webHidden/>
          </w:rPr>
          <w:fldChar w:fldCharType="begin"/>
        </w:r>
        <w:r>
          <w:rPr>
            <w:noProof/>
            <w:webHidden/>
          </w:rPr>
          <w:instrText xml:space="preserve"> PAGEREF _Toc75784376 \h </w:instrText>
        </w:r>
        <w:r>
          <w:rPr>
            <w:noProof/>
            <w:webHidden/>
          </w:rPr>
        </w:r>
        <w:r>
          <w:rPr>
            <w:noProof/>
            <w:webHidden/>
          </w:rPr>
          <w:fldChar w:fldCharType="separate"/>
        </w:r>
        <w:r>
          <w:rPr>
            <w:noProof/>
            <w:webHidden/>
          </w:rPr>
          <w:t>14</w:t>
        </w:r>
        <w:r>
          <w:rPr>
            <w:noProof/>
            <w:webHidden/>
          </w:rPr>
          <w:fldChar w:fldCharType="end"/>
        </w:r>
      </w:hyperlink>
    </w:p>
    <w:p w14:paraId="36A370DF" w14:textId="615A60EC" w:rsidR="00346EC7" w:rsidRDefault="00346EC7">
      <w:pPr>
        <w:pStyle w:val="TOC3"/>
        <w:rPr>
          <w:rFonts w:asciiTheme="minorHAnsi" w:eastAsiaTheme="minorEastAsia" w:hAnsiTheme="minorHAnsi" w:cstheme="minorBidi"/>
          <w:noProof/>
          <w:szCs w:val="22"/>
        </w:rPr>
      </w:pPr>
      <w:hyperlink w:anchor="_Toc75784377" w:history="1">
        <w:r w:rsidRPr="00985671">
          <w:rPr>
            <w:rStyle w:val="Hyperlink"/>
            <w:noProof/>
          </w:rPr>
          <w:t>8.1.1</w:t>
        </w:r>
        <w:r>
          <w:rPr>
            <w:rFonts w:asciiTheme="minorHAnsi" w:eastAsiaTheme="minorEastAsia" w:hAnsiTheme="minorHAnsi" w:cstheme="minorBidi"/>
            <w:noProof/>
            <w:szCs w:val="22"/>
          </w:rPr>
          <w:tab/>
        </w:r>
        <w:r w:rsidRPr="00985671">
          <w:rPr>
            <w:rStyle w:val="Hyperlink"/>
            <w:noProof/>
          </w:rPr>
          <w:t>First Aid Injury Reporting</w:t>
        </w:r>
        <w:r>
          <w:rPr>
            <w:noProof/>
            <w:webHidden/>
          </w:rPr>
          <w:tab/>
        </w:r>
        <w:r>
          <w:rPr>
            <w:noProof/>
            <w:webHidden/>
          </w:rPr>
          <w:fldChar w:fldCharType="begin"/>
        </w:r>
        <w:r>
          <w:rPr>
            <w:noProof/>
            <w:webHidden/>
          </w:rPr>
          <w:instrText xml:space="preserve"> PAGEREF _Toc75784377 \h </w:instrText>
        </w:r>
        <w:r>
          <w:rPr>
            <w:noProof/>
            <w:webHidden/>
          </w:rPr>
        </w:r>
        <w:r>
          <w:rPr>
            <w:noProof/>
            <w:webHidden/>
          </w:rPr>
          <w:fldChar w:fldCharType="separate"/>
        </w:r>
        <w:r>
          <w:rPr>
            <w:noProof/>
            <w:webHidden/>
          </w:rPr>
          <w:t>15</w:t>
        </w:r>
        <w:r>
          <w:rPr>
            <w:noProof/>
            <w:webHidden/>
          </w:rPr>
          <w:fldChar w:fldCharType="end"/>
        </w:r>
      </w:hyperlink>
    </w:p>
    <w:p w14:paraId="372DDD2D" w14:textId="3E85116B" w:rsidR="00346EC7" w:rsidRDefault="00346EC7">
      <w:pPr>
        <w:pStyle w:val="TOC3"/>
        <w:rPr>
          <w:rFonts w:asciiTheme="minorHAnsi" w:eastAsiaTheme="minorEastAsia" w:hAnsiTheme="minorHAnsi" w:cstheme="minorBidi"/>
          <w:noProof/>
          <w:szCs w:val="22"/>
        </w:rPr>
      </w:pPr>
      <w:hyperlink w:anchor="_Toc75784378" w:history="1">
        <w:r w:rsidRPr="00985671">
          <w:rPr>
            <w:rStyle w:val="Hyperlink"/>
            <w:noProof/>
          </w:rPr>
          <w:t>8.1.2</w:t>
        </w:r>
        <w:r>
          <w:rPr>
            <w:rFonts w:asciiTheme="minorHAnsi" w:eastAsiaTheme="minorEastAsia" w:hAnsiTheme="minorHAnsi" w:cstheme="minorBidi"/>
            <w:noProof/>
            <w:szCs w:val="22"/>
          </w:rPr>
          <w:tab/>
        </w:r>
        <w:r w:rsidRPr="00985671">
          <w:rPr>
            <w:rStyle w:val="Hyperlink"/>
            <w:noProof/>
          </w:rPr>
          <w:t>External Reporting Requirements</w:t>
        </w:r>
        <w:r>
          <w:rPr>
            <w:noProof/>
            <w:webHidden/>
          </w:rPr>
          <w:tab/>
        </w:r>
        <w:r>
          <w:rPr>
            <w:noProof/>
            <w:webHidden/>
          </w:rPr>
          <w:fldChar w:fldCharType="begin"/>
        </w:r>
        <w:r>
          <w:rPr>
            <w:noProof/>
            <w:webHidden/>
          </w:rPr>
          <w:instrText xml:space="preserve"> PAGEREF _Toc75784378 \h </w:instrText>
        </w:r>
        <w:r>
          <w:rPr>
            <w:noProof/>
            <w:webHidden/>
          </w:rPr>
        </w:r>
        <w:r>
          <w:rPr>
            <w:noProof/>
            <w:webHidden/>
          </w:rPr>
          <w:fldChar w:fldCharType="separate"/>
        </w:r>
        <w:r>
          <w:rPr>
            <w:noProof/>
            <w:webHidden/>
          </w:rPr>
          <w:t>15</w:t>
        </w:r>
        <w:r>
          <w:rPr>
            <w:noProof/>
            <w:webHidden/>
          </w:rPr>
          <w:fldChar w:fldCharType="end"/>
        </w:r>
      </w:hyperlink>
    </w:p>
    <w:p w14:paraId="758AC9BB" w14:textId="484EEB1C" w:rsidR="00346EC7" w:rsidRDefault="00346EC7">
      <w:pPr>
        <w:pStyle w:val="TOC2"/>
        <w:rPr>
          <w:rFonts w:asciiTheme="minorHAnsi" w:eastAsiaTheme="minorEastAsia" w:hAnsiTheme="minorHAnsi" w:cstheme="minorBidi"/>
          <w:noProof/>
          <w:szCs w:val="22"/>
        </w:rPr>
      </w:pPr>
      <w:hyperlink w:anchor="_Toc75784379" w:history="1">
        <w:r w:rsidRPr="00985671">
          <w:rPr>
            <w:rStyle w:val="Hyperlink"/>
            <w:noProof/>
          </w:rPr>
          <w:t>Table 7: External Reporting Requirement</w:t>
        </w:r>
        <w:r>
          <w:rPr>
            <w:noProof/>
            <w:webHidden/>
          </w:rPr>
          <w:tab/>
        </w:r>
        <w:r>
          <w:rPr>
            <w:noProof/>
            <w:webHidden/>
          </w:rPr>
          <w:fldChar w:fldCharType="begin"/>
        </w:r>
        <w:r>
          <w:rPr>
            <w:noProof/>
            <w:webHidden/>
          </w:rPr>
          <w:instrText xml:space="preserve"> PAGEREF _Toc75784379 \h </w:instrText>
        </w:r>
        <w:r>
          <w:rPr>
            <w:noProof/>
            <w:webHidden/>
          </w:rPr>
        </w:r>
        <w:r>
          <w:rPr>
            <w:noProof/>
            <w:webHidden/>
          </w:rPr>
          <w:fldChar w:fldCharType="separate"/>
        </w:r>
        <w:r>
          <w:rPr>
            <w:noProof/>
            <w:webHidden/>
          </w:rPr>
          <w:t>16</w:t>
        </w:r>
        <w:r>
          <w:rPr>
            <w:noProof/>
            <w:webHidden/>
          </w:rPr>
          <w:fldChar w:fldCharType="end"/>
        </w:r>
      </w:hyperlink>
    </w:p>
    <w:p w14:paraId="686A0896" w14:textId="709B4001" w:rsidR="00346EC7" w:rsidRDefault="00346EC7">
      <w:pPr>
        <w:pStyle w:val="TOC1"/>
        <w:rPr>
          <w:rFonts w:asciiTheme="minorHAnsi" w:eastAsiaTheme="minorEastAsia" w:hAnsiTheme="minorHAnsi" w:cstheme="minorBidi"/>
          <w:b w:val="0"/>
          <w:caps w:val="0"/>
          <w:szCs w:val="22"/>
        </w:rPr>
      </w:pPr>
      <w:hyperlink w:anchor="_Toc75784380" w:history="1">
        <w:r w:rsidRPr="00985671">
          <w:rPr>
            <w:rStyle w:val="Hyperlink"/>
          </w:rPr>
          <w:t>9.</w:t>
        </w:r>
        <w:r>
          <w:rPr>
            <w:rFonts w:asciiTheme="minorHAnsi" w:eastAsiaTheme="minorEastAsia" w:hAnsiTheme="minorHAnsi" w:cstheme="minorBidi"/>
            <w:b w:val="0"/>
            <w:caps w:val="0"/>
            <w:szCs w:val="22"/>
          </w:rPr>
          <w:tab/>
        </w:r>
        <w:r w:rsidRPr="00985671">
          <w:rPr>
            <w:rStyle w:val="Hyperlink"/>
          </w:rPr>
          <w:t>ICAM Investigation Report</w:t>
        </w:r>
        <w:r>
          <w:rPr>
            <w:webHidden/>
          </w:rPr>
          <w:tab/>
        </w:r>
        <w:r>
          <w:rPr>
            <w:webHidden/>
          </w:rPr>
          <w:fldChar w:fldCharType="begin"/>
        </w:r>
        <w:r>
          <w:rPr>
            <w:webHidden/>
          </w:rPr>
          <w:instrText xml:space="preserve"> PAGEREF _Toc75784380 \h </w:instrText>
        </w:r>
        <w:r>
          <w:rPr>
            <w:webHidden/>
          </w:rPr>
        </w:r>
        <w:r>
          <w:rPr>
            <w:webHidden/>
          </w:rPr>
          <w:fldChar w:fldCharType="separate"/>
        </w:r>
        <w:r>
          <w:rPr>
            <w:webHidden/>
          </w:rPr>
          <w:t>18</w:t>
        </w:r>
        <w:r>
          <w:rPr>
            <w:webHidden/>
          </w:rPr>
          <w:fldChar w:fldCharType="end"/>
        </w:r>
      </w:hyperlink>
    </w:p>
    <w:p w14:paraId="46D853DC" w14:textId="16E76AF1" w:rsidR="00346EC7" w:rsidRDefault="00346EC7">
      <w:pPr>
        <w:pStyle w:val="TOC1"/>
        <w:rPr>
          <w:rFonts w:asciiTheme="minorHAnsi" w:eastAsiaTheme="minorEastAsia" w:hAnsiTheme="minorHAnsi" w:cstheme="minorBidi"/>
          <w:b w:val="0"/>
          <w:caps w:val="0"/>
          <w:szCs w:val="22"/>
        </w:rPr>
      </w:pPr>
      <w:hyperlink w:anchor="_Toc75784381" w:history="1">
        <w:r w:rsidRPr="00985671">
          <w:rPr>
            <w:rStyle w:val="Hyperlink"/>
          </w:rPr>
          <w:t>10.</w:t>
        </w:r>
        <w:r>
          <w:rPr>
            <w:rFonts w:asciiTheme="minorHAnsi" w:eastAsiaTheme="minorEastAsia" w:hAnsiTheme="minorHAnsi" w:cstheme="minorBidi"/>
            <w:b w:val="0"/>
            <w:caps w:val="0"/>
            <w:szCs w:val="22"/>
          </w:rPr>
          <w:tab/>
        </w:r>
        <w:r w:rsidRPr="00985671">
          <w:rPr>
            <w:rStyle w:val="Hyperlink"/>
          </w:rPr>
          <w:t>REVIEW CRITERIA</w:t>
        </w:r>
        <w:r>
          <w:rPr>
            <w:webHidden/>
          </w:rPr>
          <w:tab/>
        </w:r>
        <w:r>
          <w:rPr>
            <w:webHidden/>
          </w:rPr>
          <w:fldChar w:fldCharType="begin"/>
        </w:r>
        <w:r>
          <w:rPr>
            <w:webHidden/>
          </w:rPr>
          <w:instrText xml:space="preserve"> PAGEREF _Toc75784381 \h </w:instrText>
        </w:r>
        <w:r>
          <w:rPr>
            <w:webHidden/>
          </w:rPr>
        </w:r>
        <w:r>
          <w:rPr>
            <w:webHidden/>
          </w:rPr>
          <w:fldChar w:fldCharType="separate"/>
        </w:r>
        <w:r>
          <w:rPr>
            <w:webHidden/>
          </w:rPr>
          <w:t>18</w:t>
        </w:r>
        <w:r>
          <w:rPr>
            <w:webHidden/>
          </w:rPr>
          <w:fldChar w:fldCharType="end"/>
        </w:r>
      </w:hyperlink>
    </w:p>
    <w:p w14:paraId="7415F1F1" w14:textId="15B3B013" w:rsidR="00346EC7" w:rsidRDefault="00346EC7">
      <w:pPr>
        <w:pStyle w:val="TOC1"/>
        <w:rPr>
          <w:rFonts w:asciiTheme="minorHAnsi" w:eastAsiaTheme="minorEastAsia" w:hAnsiTheme="minorHAnsi" w:cstheme="minorBidi"/>
          <w:b w:val="0"/>
          <w:caps w:val="0"/>
          <w:szCs w:val="22"/>
        </w:rPr>
      </w:pPr>
      <w:hyperlink w:anchor="_Toc75784382" w:history="1">
        <w:r w:rsidRPr="00985671">
          <w:rPr>
            <w:rStyle w:val="Hyperlink"/>
          </w:rPr>
          <w:t>11.</w:t>
        </w:r>
        <w:r>
          <w:rPr>
            <w:rFonts w:asciiTheme="minorHAnsi" w:eastAsiaTheme="minorEastAsia" w:hAnsiTheme="minorHAnsi" w:cstheme="minorBidi"/>
            <w:b w:val="0"/>
            <w:caps w:val="0"/>
            <w:szCs w:val="22"/>
          </w:rPr>
          <w:tab/>
        </w:r>
        <w:r w:rsidRPr="00985671">
          <w:rPr>
            <w:rStyle w:val="Hyperlink"/>
          </w:rPr>
          <w:t>SAFETY AND ENVIRONMENT</w:t>
        </w:r>
        <w:r>
          <w:rPr>
            <w:webHidden/>
          </w:rPr>
          <w:tab/>
        </w:r>
        <w:r>
          <w:rPr>
            <w:webHidden/>
          </w:rPr>
          <w:fldChar w:fldCharType="begin"/>
        </w:r>
        <w:r>
          <w:rPr>
            <w:webHidden/>
          </w:rPr>
          <w:instrText xml:space="preserve"> PAGEREF _Toc75784382 \h </w:instrText>
        </w:r>
        <w:r>
          <w:rPr>
            <w:webHidden/>
          </w:rPr>
        </w:r>
        <w:r>
          <w:rPr>
            <w:webHidden/>
          </w:rPr>
          <w:fldChar w:fldCharType="separate"/>
        </w:r>
        <w:r>
          <w:rPr>
            <w:webHidden/>
          </w:rPr>
          <w:t>18</w:t>
        </w:r>
        <w:r>
          <w:rPr>
            <w:webHidden/>
          </w:rPr>
          <w:fldChar w:fldCharType="end"/>
        </w:r>
      </w:hyperlink>
    </w:p>
    <w:p w14:paraId="08EF8E49" w14:textId="61FAB105" w:rsidR="00346EC7" w:rsidRDefault="00346EC7">
      <w:pPr>
        <w:pStyle w:val="TOC1"/>
        <w:rPr>
          <w:rFonts w:asciiTheme="minorHAnsi" w:eastAsiaTheme="minorEastAsia" w:hAnsiTheme="minorHAnsi" w:cstheme="minorBidi"/>
          <w:b w:val="0"/>
          <w:caps w:val="0"/>
          <w:szCs w:val="22"/>
        </w:rPr>
      </w:pPr>
      <w:hyperlink w:anchor="_Toc75784383" w:history="1">
        <w:r w:rsidRPr="00985671">
          <w:rPr>
            <w:rStyle w:val="Hyperlink"/>
          </w:rPr>
          <w:t>12.</w:t>
        </w:r>
        <w:r>
          <w:rPr>
            <w:rFonts w:asciiTheme="minorHAnsi" w:eastAsiaTheme="minorEastAsia" w:hAnsiTheme="minorHAnsi" w:cstheme="minorBidi"/>
            <w:b w:val="0"/>
            <w:caps w:val="0"/>
            <w:szCs w:val="22"/>
          </w:rPr>
          <w:tab/>
        </w:r>
        <w:r w:rsidRPr="00985671">
          <w:rPr>
            <w:rStyle w:val="Hyperlink"/>
          </w:rPr>
          <w:t>ATTACHMENTS, REFERENCES AND RELATED DOCUMENTS</w:t>
        </w:r>
        <w:r>
          <w:rPr>
            <w:webHidden/>
          </w:rPr>
          <w:tab/>
        </w:r>
        <w:r>
          <w:rPr>
            <w:webHidden/>
          </w:rPr>
          <w:fldChar w:fldCharType="begin"/>
        </w:r>
        <w:r>
          <w:rPr>
            <w:webHidden/>
          </w:rPr>
          <w:instrText xml:space="preserve"> PAGEREF _Toc75784383 \h </w:instrText>
        </w:r>
        <w:r>
          <w:rPr>
            <w:webHidden/>
          </w:rPr>
        </w:r>
        <w:r>
          <w:rPr>
            <w:webHidden/>
          </w:rPr>
          <w:fldChar w:fldCharType="separate"/>
        </w:r>
        <w:r>
          <w:rPr>
            <w:webHidden/>
          </w:rPr>
          <w:t>18</w:t>
        </w:r>
        <w:r>
          <w:rPr>
            <w:webHidden/>
          </w:rPr>
          <w:fldChar w:fldCharType="end"/>
        </w:r>
      </w:hyperlink>
    </w:p>
    <w:p w14:paraId="69323100" w14:textId="707FC46E" w:rsidR="00346EC7" w:rsidRDefault="00346EC7">
      <w:pPr>
        <w:pStyle w:val="TOC2"/>
        <w:rPr>
          <w:rFonts w:asciiTheme="minorHAnsi" w:eastAsiaTheme="minorEastAsia" w:hAnsiTheme="minorHAnsi" w:cstheme="minorBidi"/>
          <w:noProof/>
          <w:szCs w:val="22"/>
        </w:rPr>
      </w:pPr>
      <w:hyperlink w:anchor="_Toc75784384" w:history="1">
        <w:r w:rsidRPr="00985671">
          <w:rPr>
            <w:rStyle w:val="Hyperlink"/>
            <w:noProof/>
          </w:rPr>
          <w:t>12.1</w:t>
        </w:r>
        <w:r>
          <w:rPr>
            <w:rFonts w:asciiTheme="minorHAnsi" w:eastAsiaTheme="minorEastAsia" w:hAnsiTheme="minorHAnsi" w:cstheme="minorBidi"/>
            <w:noProof/>
            <w:szCs w:val="22"/>
          </w:rPr>
          <w:tab/>
        </w:r>
        <w:r w:rsidRPr="00985671">
          <w:rPr>
            <w:rStyle w:val="Hyperlink"/>
            <w:noProof/>
          </w:rPr>
          <w:t>References and Related Documents</w:t>
        </w:r>
        <w:r>
          <w:rPr>
            <w:noProof/>
            <w:webHidden/>
          </w:rPr>
          <w:tab/>
        </w:r>
        <w:r>
          <w:rPr>
            <w:noProof/>
            <w:webHidden/>
          </w:rPr>
          <w:fldChar w:fldCharType="begin"/>
        </w:r>
        <w:r>
          <w:rPr>
            <w:noProof/>
            <w:webHidden/>
          </w:rPr>
          <w:instrText xml:space="preserve"> PAGEREF _Toc75784384 \h </w:instrText>
        </w:r>
        <w:r>
          <w:rPr>
            <w:noProof/>
            <w:webHidden/>
          </w:rPr>
        </w:r>
        <w:r>
          <w:rPr>
            <w:noProof/>
            <w:webHidden/>
          </w:rPr>
          <w:fldChar w:fldCharType="separate"/>
        </w:r>
        <w:r>
          <w:rPr>
            <w:noProof/>
            <w:webHidden/>
          </w:rPr>
          <w:t>18</w:t>
        </w:r>
        <w:r>
          <w:rPr>
            <w:noProof/>
            <w:webHidden/>
          </w:rPr>
          <w:fldChar w:fldCharType="end"/>
        </w:r>
      </w:hyperlink>
    </w:p>
    <w:p w14:paraId="458ECCD4" w14:textId="25C01E11" w:rsidR="00346EC7" w:rsidRDefault="00346EC7">
      <w:pPr>
        <w:pStyle w:val="TOC2"/>
        <w:rPr>
          <w:rFonts w:asciiTheme="minorHAnsi" w:eastAsiaTheme="minorEastAsia" w:hAnsiTheme="minorHAnsi" w:cstheme="minorBidi"/>
          <w:noProof/>
          <w:szCs w:val="22"/>
        </w:rPr>
      </w:pPr>
      <w:hyperlink w:anchor="_Toc75784385" w:history="1">
        <w:r w:rsidRPr="00985671">
          <w:rPr>
            <w:rStyle w:val="Hyperlink"/>
            <w:noProof/>
          </w:rPr>
          <w:t>12.2</w:t>
        </w:r>
        <w:r>
          <w:rPr>
            <w:rFonts w:asciiTheme="minorHAnsi" w:eastAsiaTheme="minorEastAsia" w:hAnsiTheme="minorHAnsi" w:cstheme="minorBidi"/>
            <w:noProof/>
            <w:szCs w:val="22"/>
          </w:rPr>
          <w:tab/>
        </w:r>
        <w:r w:rsidRPr="00985671">
          <w:rPr>
            <w:rStyle w:val="Hyperlink"/>
            <w:noProof/>
          </w:rPr>
          <w:t>Attachments</w:t>
        </w:r>
        <w:r>
          <w:rPr>
            <w:noProof/>
            <w:webHidden/>
          </w:rPr>
          <w:tab/>
        </w:r>
        <w:r>
          <w:rPr>
            <w:noProof/>
            <w:webHidden/>
          </w:rPr>
          <w:fldChar w:fldCharType="begin"/>
        </w:r>
        <w:r>
          <w:rPr>
            <w:noProof/>
            <w:webHidden/>
          </w:rPr>
          <w:instrText xml:space="preserve"> PAGEREF _Toc75784385 \h </w:instrText>
        </w:r>
        <w:r>
          <w:rPr>
            <w:noProof/>
            <w:webHidden/>
          </w:rPr>
        </w:r>
        <w:r>
          <w:rPr>
            <w:noProof/>
            <w:webHidden/>
          </w:rPr>
          <w:fldChar w:fldCharType="separate"/>
        </w:r>
        <w:r>
          <w:rPr>
            <w:noProof/>
            <w:webHidden/>
          </w:rPr>
          <w:t>18</w:t>
        </w:r>
        <w:r>
          <w:rPr>
            <w:noProof/>
            <w:webHidden/>
          </w:rPr>
          <w:fldChar w:fldCharType="end"/>
        </w:r>
      </w:hyperlink>
    </w:p>
    <w:p w14:paraId="1254B636" w14:textId="54AB69E7" w:rsidR="00346EC7" w:rsidRDefault="00346EC7">
      <w:pPr>
        <w:pStyle w:val="TOC2"/>
        <w:rPr>
          <w:rFonts w:asciiTheme="minorHAnsi" w:eastAsiaTheme="minorEastAsia" w:hAnsiTheme="minorHAnsi" w:cstheme="minorBidi"/>
          <w:noProof/>
          <w:szCs w:val="22"/>
        </w:rPr>
      </w:pPr>
      <w:hyperlink w:anchor="_Toc75784386" w:history="1">
        <w:r w:rsidRPr="00985671">
          <w:rPr>
            <w:rStyle w:val="Hyperlink"/>
            <w:noProof/>
          </w:rPr>
          <w:t>12.3</w:t>
        </w:r>
        <w:r>
          <w:rPr>
            <w:rFonts w:asciiTheme="minorHAnsi" w:eastAsiaTheme="minorEastAsia" w:hAnsiTheme="minorHAnsi" w:cstheme="minorBidi"/>
            <w:noProof/>
            <w:szCs w:val="22"/>
          </w:rPr>
          <w:tab/>
        </w:r>
        <w:r w:rsidRPr="00985671">
          <w:rPr>
            <w:rStyle w:val="Hyperlink"/>
            <w:noProof/>
          </w:rPr>
          <w:t>Appendixes</w:t>
        </w:r>
        <w:r>
          <w:rPr>
            <w:noProof/>
            <w:webHidden/>
          </w:rPr>
          <w:tab/>
        </w:r>
        <w:r>
          <w:rPr>
            <w:noProof/>
            <w:webHidden/>
          </w:rPr>
          <w:fldChar w:fldCharType="begin"/>
        </w:r>
        <w:r>
          <w:rPr>
            <w:noProof/>
            <w:webHidden/>
          </w:rPr>
          <w:instrText xml:space="preserve"> PAGEREF _Toc75784386 \h </w:instrText>
        </w:r>
        <w:r>
          <w:rPr>
            <w:noProof/>
            <w:webHidden/>
          </w:rPr>
        </w:r>
        <w:r>
          <w:rPr>
            <w:noProof/>
            <w:webHidden/>
          </w:rPr>
          <w:fldChar w:fldCharType="separate"/>
        </w:r>
        <w:r>
          <w:rPr>
            <w:noProof/>
            <w:webHidden/>
          </w:rPr>
          <w:t>18</w:t>
        </w:r>
        <w:r>
          <w:rPr>
            <w:noProof/>
            <w:webHidden/>
          </w:rPr>
          <w:fldChar w:fldCharType="end"/>
        </w:r>
      </w:hyperlink>
    </w:p>
    <w:p w14:paraId="5003EA10" w14:textId="56DEFD3F"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09B8047C" w14:textId="17F26A01" w:rsidR="000D135A" w:rsidRDefault="000D135A" w:rsidP="000D135A">
      <w:pPr>
        <w:pStyle w:val="Heading1"/>
        <w:ind w:left="567" w:hanging="567"/>
        <w:rPr>
          <w:rFonts w:asciiTheme="minorHAnsi" w:hAnsiTheme="minorHAnsi" w:cstheme="minorHAnsi"/>
          <w:szCs w:val="44"/>
          <w:lang w:val="en-AU"/>
        </w:rPr>
      </w:pPr>
      <w:bookmarkStart w:id="5" w:name="_Toc75784368"/>
      <w:r>
        <w:rPr>
          <w:rFonts w:asciiTheme="minorHAnsi" w:hAnsiTheme="minorHAnsi" w:cstheme="minorHAnsi"/>
          <w:szCs w:val="44"/>
          <w:lang w:val="en-AU"/>
        </w:rPr>
        <w:lastRenderedPageBreak/>
        <w:t>Purpose</w:t>
      </w:r>
      <w:bookmarkEnd w:id="5"/>
    </w:p>
    <w:p w14:paraId="33D8AAF1" w14:textId="77777777" w:rsidR="0017525B" w:rsidRDefault="0017525B" w:rsidP="0017525B">
      <w:pPr>
        <w:pStyle w:val="Heading1"/>
      </w:pPr>
      <w:bookmarkStart w:id="6" w:name="_Toc536616896"/>
      <w:bookmarkStart w:id="7" w:name="_Toc33890093"/>
      <w:bookmarkStart w:id="8" w:name="_Toc75784369"/>
      <w:r w:rsidRPr="003F12A3">
        <w:t>PURPOSE</w:t>
      </w:r>
      <w:bookmarkEnd w:id="6"/>
      <w:bookmarkEnd w:id="7"/>
      <w:bookmarkEnd w:id="8"/>
    </w:p>
    <w:p w14:paraId="1A22A5FC" w14:textId="39DC5CDA" w:rsidR="0017525B" w:rsidRDefault="0017525B" w:rsidP="0017525B">
      <w:pPr>
        <w:pStyle w:val="Body"/>
      </w:pPr>
      <w:r w:rsidRPr="00FF62C8">
        <w:t xml:space="preserve">This standard describes the requirements for </w:t>
      </w:r>
      <w:r w:rsidRPr="003F12A3">
        <w:t>Safety</w:t>
      </w:r>
      <w:r>
        <w:t>,</w:t>
      </w:r>
      <w:r w:rsidRPr="003F12A3">
        <w:t xml:space="preserve"> Health </w:t>
      </w:r>
      <w:r>
        <w:t xml:space="preserve">and Environment </w:t>
      </w:r>
      <w:r w:rsidRPr="003F12A3">
        <w:t xml:space="preserve">Incident Investigation, </w:t>
      </w:r>
      <w:r w:rsidRPr="00FF62C8">
        <w:t>as it applies to all processes</w:t>
      </w:r>
      <w:r>
        <w:t xml:space="preserve"> at the Kaius Mine</w:t>
      </w:r>
      <w:r w:rsidRPr="00FF62C8">
        <w:t>.</w:t>
      </w:r>
    </w:p>
    <w:p w14:paraId="3E46847F" w14:textId="77777777" w:rsidR="0017525B" w:rsidRDefault="0017525B" w:rsidP="0017525B">
      <w:pPr>
        <w:pStyle w:val="Body"/>
      </w:pPr>
      <w:r>
        <w:t>The purpose of this standard is to ensure that safety, health and environmental incidents and non-conformances are investigated, and corrective and preventive actions are implemented.</w:t>
      </w:r>
    </w:p>
    <w:p w14:paraId="3255CEB5" w14:textId="77777777" w:rsidR="0017525B" w:rsidRDefault="0017525B" w:rsidP="0017525B">
      <w:pPr>
        <w:pStyle w:val="Heading1"/>
        <w:rPr>
          <w:caps/>
        </w:rPr>
      </w:pPr>
      <w:bookmarkStart w:id="9" w:name="_Toc536616897"/>
      <w:bookmarkStart w:id="10" w:name="_Toc33890094"/>
      <w:bookmarkStart w:id="11" w:name="_Toc75784370"/>
      <w:r>
        <w:t>SCOPE</w:t>
      </w:r>
      <w:bookmarkEnd w:id="9"/>
      <w:bookmarkEnd w:id="10"/>
      <w:bookmarkEnd w:id="11"/>
    </w:p>
    <w:p w14:paraId="20E7D60A" w14:textId="0F2A2B1A" w:rsidR="0017525B" w:rsidRDefault="0017525B" w:rsidP="0017525B">
      <w:pPr>
        <w:pStyle w:val="Body"/>
      </w:pPr>
      <w:r w:rsidRPr="00B46A8D">
        <w:t xml:space="preserve">This standard applies to all </w:t>
      </w:r>
      <w:r>
        <w:t>Kaius</w:t>
      </w:r>
      <w:r w:rsidRPr="00B46A8D">
        <w:t xml:space="preserve"> mine workers working under the </w:t>
      </w:r>
      <w:r>
        <w:t>Kaius</w:t>
      </w:r>
      <w:r w:rsidRPr="00B46A8D">
        <w:t xml:space="preserve"> Mine SHMS. It is a requirement that an ICAM investigation and report be completed following an incident with an actual consequence of Moderate and above or an incident with a potential consequence of Major or above.</w:t>
      </w:r>
    </w:p>
    <w:p w14:paraId="790B00C4" w14:textId="77777777" w:rsidR="0017525B" w:rsidRDefault="0017525B" w:rsidP="0017525B">
      <w:pPr>
        <w:pStyle w:val="Heading1"/>
      </w:pPr>
      <w:bookmarkStart w:id="12" w:name="_Toc536616898"/>
      <w:bookmarkStart w:id="13" w:name="_Toc33890095"/>
      <w:bookmarkStart w:id="14" w:name="_Toc75784371"/>
      <w:r w:rsidRPr="00D219BB">
        <w:t>AUTHORITY</w:t>
      </w:r>
      <w:bookmarkEnd w:id="12"/>
      <w:bookmarkEnd w:id="13"/>
      <w:bookmarkEnd w:id="14"/>
    </w:p>
    <w:p w14:paraId="362955D1" w14:textId="77777777" w:rsidR="0017525B" w:rsidRDefault="0017525B" w:rsidP="0017525B">
      <w:pPr>
        <w:pStyle w:val="Body"/>
      </w:pPr>
      <w:r w:rsidRPr="005F4975">
        <w:t xml:space="preserve">This procedure can only be altered with the approval of </w:t>
      </w:r>
      <w:r>
        <w:t xml:space="preserve">the </w:t>
      </w:r>
      <w:r w:rsidRPr="005F4975">
        <w:t>Site Senior Executive</w:t>
      </w:r>
      <w:r>
        <w:t xml:space="preserve"> (SSE)</w:t>
      </w:r>
      <w:r w:rsidRPr="005F4975">
        <w:t>.</w:t>
      </w:r>
    </w:p>
    <w:p w14:paraId="6ACDFB14" w14:textId="77777777" w:rsidR="0017525B" w:rsidRPr="00D219BB" w:rsidRDefault="0017525B" w:rsidP="0017525B">
      <w:pPr>
        <w:pStyle w:val="Heading1"/>
      </w:pPr>
      <w:bookmarkStart w:id="15" w:name="_Toc536616899"/>
      <w:bookmarkStart w:id="16" w:name="_Toc33890096"/>
      <w:bookmarkStart w:id="17" w:name="_Toc75784372"/>
      <w:r w:rsidRPr="00D219BB">
        <w:t>RESPONSIBILITIES</w:t>
      </w:r>
      <w:bookmarkEnd w:id="15"/>
      <w:bookmarkEnd w:id="16"/>
      <w:bookmarkEnd w:id="17"/>
    </w:p>
    <w:p w14:paraId="7B262B65" w14:textId="77777777" w:rsidR="0017525B" w:rsidRPr="00EE51C0" w:rsidRDefault="0017525B" w:rsidP="0017525B">
      <w:pPr>
        <w:pStyle w:val="Body"/>
      </w:pPr>
      <w:r w:rsidRPr="00EE51C0">
        <w:t>Site Senior Executive</w:t>
      </w:r>
      <w:r>
        <w:t xml:space="preserve"> (SSE)</w:t>
      </w:r>
    </w:p>
    <w:p w14:paraId="025BA8B9" w14:textId="77777777" w:rsidR="0017525B" w:rsidRDefault="0017525B" w:rsidP="0017525B">
      <w:pPr>
        <w:pStyle w:val="Body"/>
      </w:pPr>
      <w:r>
        <w:t>Site Senior Executive shall ensure:</w:t>
      </w:r>
    </w:p>
    <w:p w14:paraId="11646B65" w14:textId="77777777" w:rsidR="0017525B" w:rsidRDefault="0017525B" w:rsidP="004279CE">
      <w:pPr>
        <w:pStyle w:val="Body"/>
        <w:numPr>
          <w:ilvl w:val="0"/>
          <w:numId w:val="10"/>
        </w:numPr>
        <w:spacing w:before="60" w:after="60" w:line="300" w:lineRule="auto"/>
      </w:pPr>
      <w:r>
        <w:t>That all of the provisions of this Standard are implemented and that compliance is achieved.</w:t>
      </w:r>
    </w:p>
    <w:p w14:paraId="5478BF49" w14:textId="77777777" w:rsidR="0017525B" w:rsidRDefault="0017525B" w:rsidP="004279CE">
      <w:pPr>
        <w:pStyle w:val="Body"/>
        <w:numPr>
          <w:ilvl w:val="0"/>
          <w:numId w:val="10"/>
        </w:numPr>
        <w:spacing w:before="60" w:after="60" w:line="300" w:lineRule="auto"/>
      </w:pPr>
      <w:r w:rsidRPr="00845540">
        <w:t>Adequate resources are provided to maintain compliance with the requirements of this standard;</w:t>
      </w:r>
      <w:r>
        <w:t xml:space="preserve"> and</w:t>
      </w:r>
    </w:p>
    <w:p w14:paraId="374F29D6" w14:textId="77777777" w:rsidR="0017525B" w:rsidRDefault="0017525B" w:rsidP="004279CE">
      <w:pPr>
        <w:pStyle w:val="Body"/>
        <w:numPr>
          <w:ilvl w:val="0"/>
          <w:numId w:val="10"/>
        </w:numPr>
        <w:spacing w:before="60" w:after="60" w:line="300" w:lineRule="auto"/>
      </w:pPr>
      <w:r w:rsidRPr="006B785C">
        <w:t>The application and requirements of this standard are pe</w:t>
      </w:r>
      <w:r>
        <w:t>riodically audited and reviewed.</w:t>
      </w:r>
    </w:p>
    <w:p w14:paraId="7304DA2B" w14:textId="77777777" w:rsidR="0017525B" w:rsidRDefault="0017525B" w:rsidP="0017525B">
      <w:pPr>
        <w:pStyle w:val="Body"/>
      </w:pPr>
    </w:p>
    <w:p w14:paraId="1C32A540" w14:textId="77777777" w:rsidR="0017525B" w:rsidRPr="00AC64DA" w:rsidRDefault="0017525B" w:rsidP="0017525B">
      <w:pPr>
        <w:pStyle w:val="Body"/>
        <w:rPr>
          <w:b/>
        </w:rPr>
      </w:pPr>
      <w:r w:rsidRPr="00AC64DA">
        <w:rPr>
          <w:b/>
        </w:rPr>
        <w:t>Supervisors</w:t>
      </w:r>
    </w:p>
    <w:p w14:paraId="5DFA4504" w14:textId="77777777" w:rsidR="0017525B" w:rsidRDefault="0017525B" w:rsidP="0017525B">
      <w:pPr>
        <w:pStyle w:val="Body"/>
      </w:pPr>
      <w:r>
        <w:t xml:space="preserve">Supervisors shall ensure: </w:t>
      </w:r>
    </w:p>
    <w:p w14:paraId="65369034" w14:textId="77777777" w:rsidR="0017525B" w:rsidRDefault="0017525B" w:rsidP="0017525B">
      <w:pPr>
        <w:pStyle w:val="Bullets"/>
        <w:spacing w:before="60" w:after="60" w:line="300" w:lineRule="auto"/>
      </w:pPr>
      <w:r>
        <w:t>That the requirements of this Standard are implemented;</w:t>
      </w:r>
    </w:p>
    <w:p w14:paraId="79470E5A" w14:textId="77777777" w:rsidR="0017525B" w:rsidRDefault="0017525B" w:rsidP="0017525B">
      <w:pPr>
        <w:pStyle w:val="Bullets"/>
        <w:spacing w:before="60" w:after="60" w:line="300" w:lineRule="auto"/>
      </w:pPr>
      <w:r>
        <w:t>That workers, including contractors, are trained in accordance with the Standard;</w:t>
      </w:r>
    </w:p>
    <w:p w14:paraId="35FE8F60" w14:textId="77777777" w:rsidR="0017525B" w:rsidRDefault="0017525B" w:rsidP="0017525B">
      <w:pPr>
        <w:pStyle w:val="Bullets"/>
        <w:spacing w:before="60" w:after="60" w:line="300" w:lineRule="auto"/>
      </w:pPr>
      <w:r w:rsidRPr="00F55F02">
        <w:t>All work undertaken within their area of responsibility is conducted in accordance with the requirements of this standard</w:t>
      </w:r>
      <w:r>
        <w:t>;</w:t>
      </w:r>
    </w:p>
    <w:p w14:paraId="01CF394F" w14:textId="77777777" w:rsidR="0017525B" w:rsidRDefault="0017525B" w:rsidP="0017525B">
      <w:pPr>
        <w:pStyle w:val="Bullets"/>
        <w:spacing w:before="60" w:after="60" w:line="300" w:lineRule="auto"/>
      </w:pPr>
      <w:r>
        <w:t>They monitor compliance with this Standard; and</w:t>
      </w:r>
    </w:p>
    <w:p w14:paraId="05D6409A" w14:textId="77777777" w:rsidR="0017525B" w:rsidRDefault="0017525B" w:rsidP="0017525B">
      <w:pPr>
        <w:pStyle w:val="Bullets"/>
        <w:spacing w:before="60" w:after="60" w:line="300" w:lineRule="auto"/>
      </w:pPr>
      <w:r>
        <w:t>This Standard is readily available to all workers and contractors.</w:t>
      </w:r>
    </w:p>
    <w:p w14:paraId="07791092" w14:textId="77777777" w:rsidR="0017525B" w:rsidRDefault="0017525B" w:rsidP="0017525B">
      <w:pPr>
        <w:pStyle w:val="Body"/>
      </w:pPr>
    </w:p>
    <w:p w14:paraId="4A7D531F" w14:textId="77777777" w:rsidR="0017525B" w:rsidRPr="00AC64DA" w:rsidRDefault="0017525B" w:rsidP="0017525B">
      <w:pPr>
        <w:pStyle w:val="Body"/>
        <w:rPr>
          <w:b/>
        </w:rPr>
      </w:pPr>
      <w:r w:rsidRPr="00AC64DA">
        <w:rPr>
          <w:b/>
        </w:rPr>
        <w:t xml:space="preserve">Mine Workers </w:t>
      </w:r>
    </w:p>
    <w:p w14:paraId="44EAAFA5" w14:textId="77777777" w:rsidR="0017525B" w:rsidRDefault="0017525B" w:rsidP="0017525B">
      <w:pPr>
        <w:pStyle w:val="Body"/>
      </w:pPr>
      <w:r>
        <w:t>Mine Workers shall:</w:t>
      </w:r>
    </w:p>
    <w:p w14:paraId="7A6128A7" w14:textId="77777777" w:rsidR="0017525B" w:rsidRDefault="0017525B" w:rsidP="0017525B">
      <w:pPr>
        <w:pStyle w:val="Bullets"/>
        <w:spacing w:before="60" w:after="60" w:line="300" w:lineRule="auto"/>
      </w:pPr>
      <w:r>
        <w:t>Undertake the training and assessment provided by the SSE;</w:t>
      </w:r>
    </w:p>
    <w:p w14:paraId="7C617517" w14:textId="77777777" w:rsidR="0017525B" w:rsidRDefault="0017525B" w:rsidP="0017525B">
      <w:pPr>
        <w:pStyle w:val="Bullets"/>
        <w:spacing w:before="60" w:after="60" w:line="300" w:lineRule="auto"/>
      </w:pPr>
      <w:r>
        <w:t>Act in accordance with this Standard;</w:t>
      </w:r>
    </w:p>
    <w:p w14:paraId="41D5FF3F" w14:textId="77777777" w:rsidR="0017525B" w:rsidRDefault="0017525B" w:rsidP="0017525B">
      <w:pPr>
        <w:pStyle w:val="Bullets"/>
        <w:spacing w:before="60" w:after="60" w:line="300" w:lineRule="auto"/>
      </w:pPr>
      <w:r>
        <w:t>Not undertake any tasks for which they are unable to safely complete.</w:t>
      </w:r>
    </w:p>
    <w:p w14:paraId="49ADF285" w14:textId="77777777" w:rsidR="0017525B" w:rsidRPr="00EE51C0" w:rsidRDefault="0017525B" w:rsidP="0017525B">
      <w:pPr>
        <w:pStyle w:val="Bullets"/>
        <w:numPr>
          <w:ilvl w:val="0"/>
          <w:numId w:val="0"/>
        </w:numPr>
      </w:pPr>
    </w:p>
    <w:p w14:paraId="313DC1F7" w14:textId="77777777" w:rsidR="0017525B" w:rsidRPr="00D219BB" w:rsidRDefault="0017525B" w:rsidP="0017525B">
      <w:pPr>
        <w:pStyle w:val="Heading1"/>
        <w:rPr>
          <w:caps/>
        </w:rPr>
      </w:pPr>
      <w:bookmarkStart w:id="18" w:name="_Toc536616900"/>
      <w:bookmarkStart w:id="19" w:name="_Toc33890097"/>
      <w:bookmarkStart w:id="20" w:name="_Toc75784373"/>
      <w:r w:rsidRPr="00D219BB">
        <w:t>DEFINITIONS AND ABBREVIATIONS</w:t>
      </w:r>
      <w:bookmarkEnd w:id="18"/>
      <w:bookmarkEnd w:id="19"/>
      <w:bookmarkEnd w:id="20"/>
    </w:p>
    <w:tbl>
      <w:tblPr>
        <w:tblW w:w="9781"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7376"/>
      </w:tblGrid>
      <w:tr w:rsidR="0017525B" w:rsidRPr="003F12A3" w14:paraId="6E6F112A" w14:textId="77777777" w:rsidTr="00CA415A">
        <w:trPr>
          <w:cantSplit/>
          <w:trHeight w:val="427"/>
        </w:trPr>
        <w:tc>
          <w:tcPr>
            <w:tcW w:w="2405" w:type="dxa"/>
            <w:shd w:val="clear" w:color="auto" w:fill="auto"/>
            <w:vAlign w:val="center"/>
          </w:tcPr>
          <w:p w14:paraId="2946FEEB" w14:textId="77777777" w:rsidR="0017525B" w:rsidRDefault="0017525B" w:rsidP="00CA415A">
            <w:pPr>
              <w:pStyle w:val="Table"/>
              <w:rPr>
                <w:lang w:val="en-GB" w:eastAsia="en-US"/>
              </w:rPr>
            </w:pPr>
            <w:r>
              <w:rPr>
                <w:lang w:val="en-GB" w:eastAsia="en-US"/>
              </w:rPr>
              <w:t>Accountable Person</w:t>
            </w:r>
          </w:p>
        </w:tc>
        <w:tc>
          <w:tcPr>
            <w:tcW w:w="7376" w:type="dxa"/>
            <w:shd w:val="clear" w:color="auto" w:fill="auto"/>
            <w:vAlign w:val="center"/>
          </w:tcPr>
          <w:p w14:paraId="23AE3D36" w14:textId="77777777" w:rsidR="0017525B" w:rsidRDefault="0017525B" w:rsidP="00CA415A">
            <w:pPr>
              <w:pStyle w:val="Table"/>
              <w:rPr>
                <w:szCs w:val="22"/>
              </w:rPr>
            </w:pPr>
            <w:r>
              <w:rPr>
                <w:szCs w:val="22"/>
              </w:rPr>
              <w:t>Is the person with the level of authority to ensure the investigation is adequately resourced and is undertaken to meet the requirements of this standard.</w:t>
            </w:r>
          </w:p>
        </w:tc>
      </w:tr>
      <w:tr w:rsidR="0017525B" w:rsidRPr="003F12A3" w14:paraId="7C820E7B" w14:textId="77777777" w:rsidTr="00CA415A">
        <w:trPr>
          <w:cantSplit/>
          <w:trHeight w:val="427"/>
        </w:trPr>
        <w:tc>
          <w:tcPr>
            <w:tcW w:w="2405" w:type="dxa"/>
            <w:shd w:val="clear" w:color="auto" w:fill="auto"/>
            <w:vAlign w:val="center"/>
          </w:tcPr>
          <w:p w14:paraId="35F25C37" w14:textId="77777777" w:rsidR="0017525B" w:rsidRDefault="0017525B" w:rsidP="00CA415A">
            <w:pPr>
              <w:pStyle w:val="Table"/>
              <w:rPr>
                <w:lang w:val="en-GB" w:eastAsia="en-US"/>
              </w:rPr>
            </w:pPr>
            <w:r>
              <w:rPr>
                <w:lang w:val="en-GB" w:eastAsia="en-US"/>
              </w:rPr>
              <w:t>Five Whys</w:t>
            </w:r>
          </w:p>
        </w:tc>
        <w:tc>
          <w:tcPr>
            <w:tcW w:w="7376" w:type="dxa"/>
            <w:shd w:val="clear" w:color="auto" w:fill="auto"/>
            <w:vAlign w:val="center"/>
          </w:tcPr>
          <w:p w14:paraId="2DC86972" w14:textId="77777777" w:rsidR="0017525B" w:rsidRDefault="0017525B" w:rsidP="00CA415A">
            <w:pPr>
              <w:pStyle w:val="Table"/>
              <w:rPr>
                <w:szCs w:val="22"/>
              </w:rPr>
            </w:pPr>
            <w:r>
              <w:rPr>
                <w:szCs w:val="22"/>
              </w:rPr>
              <w:t>Process of probing into the reasons for an event occurring by questioning responses to their logical conclusion. Asking “Why” five times assists in identifying underlying causes.</w:t>
            </w:r>
          </w:p>
        </w:tc>
      </w:tr>
      <w:tr w:rsidR="0017525B" w:rsidRPr="003F12A3" w14:paraId="242C2921" w14:textId="77777777" w:rsidTr="00CA415A">
        <w:trPr>
          <w:cantSplit/>
          <w:trHeight w:val="427"/>
        </w:trPr>
        <w:tc>
          <w:tcPr>
            <w:tcW w:w="2405" w:type="dxa"/>
            <w:shd w:val="clear" w:color="auto" w:fill="auto"/>
            <w:vAlign w:val="center"/>
          </w:tcPr>
          <w:p w14:paraId="24727D3F" w14:textId="77777777" w:rsidR="0017525B" w:rsidRDefault="0017525B" w:rsidP="00CA415A">
            <w:pPr>
              <w:pStyle w:val="Table"/>
              <w:rPr>
                <w:lang w:val="en-GB" w:eastAsia="en-US"/>
              </w:rPr>
            </w:pPr>
            <w:r>
              <w:rPr>
                <w:lang w:val="en-GB" w:eastAsia="en-US"/>
              </w:rPr>
              <w:t>ICAM</w:t>
            </w:r>
          </w:p>
        </w:tc>
        <w:tc>
          <w:tcPr>
            <w:tcW w:w="7376" w:type="dxa"/>
            <w:shd w:val="clear" w:color="auto" w:fill="auto"/>
            <w:vAlign w:val="center"/>
          </w:tcPr>
          <w:p w14:paraId="573B9767" w14:textId="77777777" w:rsidR="0017525B" w:rsidRPr="005D6A3E" w:rsidRDefault="0017525B" w:rsidP="00CA415A">
            <w:pPr>
              <w:pStyle w:val="Table"/>
              <w:rPr>
                <w:szCs w:val="22"/>
              </w:rPr>
            </w:pPr>
            <w:r>
              <w:rPr>
                <w:szCs w:val="22"/>
              </w:rPr>
              <w:t>Incident Cause Analysis Method</w:t>
            </w:r>
          </w:p>
        </w:tc>
      </w:tr>
      <w:tr w:rsidR="0017525B" w:rsidRPr="003F12A3" w14:paraId="5823DE11" w14:textId="77777777" w:rsidTr="00CA415A">
        <w:trPr>
          <w:cantSplit/>
          <w:trHeight w:val="427"/>
        </w:trPr>
        <w:tc>
          <w:tcPr>
            <w:tcW w:w="2405" w:type="dxa"/>
            <w:shd w:val="clear" w:color="auto" w:fill="auto"/>
            <w:vAlign w:val="center"/>
          </w:tcPr>
          <w:p w14:paraId="4D32A13E" w14:textId="77777777" w:rsidR="0017525B" w:rsidRPr="003F12A3" w:rsidRDefault="0017525B" w:rsidP="00CA415A">
            <w:pPr>
              <w:pStyle w:val="Table"/>
              <w:rPr>
                <w:lang w:val="en-GB" w:eastAsia="en-US"/>
              </w:rPr>
            </w:pPr>
            <w:r>
              <w:rPr>
                <w:lang w:val="en-GB" w:eastAsia="en-US"/>
              </w:rPr>
              <w:t>Incident</w:t>
            </w:r>
          </w:p>
        </w:tc>
        <w:tc>
          <w:tcPr>
            <w:tcW w:w="7376" w:type="dxa"/>
            <w:shd w:val="clear" w:color="auto" w:fill="auto"/>
            <w:vAlign w:val="center"/>
          </w:tcPr>
          <w:p w14:paraId="2A60A197" w14:textId="08CFA5D0" w:rsidR="0017525B" w:rsidRPr="003F12A3" w:rsidRDefault="0017525B" w:rsidP="00CA415A">
            <w:pPr>
              <w:pStyle w:val="Table"/>
              <w:rPr>
                <w:lang w:val="en-GB" w:eastAsia="en-US"/>
              </w:rPr>
            </w:pPr>
            <w:r w:rsidRPr="005D6A3E">
              <w:rPr>
                <w:szCs w:val="22"/>
              </w:rPr>
              <w:t>Any occurrence directly associated with t</w:t>
            </w:r>
            <w:r>
              <w:rPr>
                <w:szCs w:val="22"/>
              </w:rPr>
              <w:t xml:space="preserve">he Kaius Mine </w:t>
            </w:r>
            <w:r w:rsidRPr="005D6A3E">
              <w:rPr>
                <w:szCs w:val="22"/>
              </w:rPr>
              <w:t>which results, or could result, in harm to people, damage to property, and loss to process, harm to the environment or breaches compliance with applicable procedures, standards or legislation.</w:t>
            </w:r>
          </w:p>
        </w:tc>
      </w:tr>
      <w:tr w:rsidR="0017525B" w:rsidRPr="003F12A3" w14:paraId="4026FCCE" w14:textId="77777777" w:rsidTr="00CA415A">
        <w:trPr>
          <w:cantSplit/>
          <w:trHeight w:val="427"/>
        </w:trPr>
        <w:tc>
          <w:tcPr>
            <w:tcW w:w="2405" w:type="dxa"/>
            <w:shd w:val="clear" w:color="auto" w:fill="auto"/>
            <w:vAlign w:val="center"/>
          </w:tcPr>
          <w:p w14:paraId="730B2590" w14:textId="77777777" w:rsidR="0017525B" w:rsidRDefault="0017525B" w:rsidP="00CA415A">
            <w:pPr>
              <w:pStyle w:val="Table"/>
              <w:rPr>
                <w:lang w:val="en-GB" w:eastAsia="en-US"/>
              </w:rPr>
            </w:pPr>
            <w:r>
              <w:rPr>
                <w:lang w:val="en-GB" w:eastAsia="en-US"/>
              </w:rPr>
              <w:t>Involved Person (IP)</w:t>
            </w:r>
          </w:p>
        </w:tc>
        <w:tc>
          <w:tcPr>
            <w:tcW w:w="7376" w:type="dxa"/>
            <w:shd w:val="clear" w:color="auto" w:fill="auto"/>
            <w:vAlign w:val="center"/>
          </w:tcPr>
          <w:p w14:paraId="0DACFB07" w14:textId="77777777" w:rsidR="0017525B" w:rsidRPr="003F12A3" w:rsidRDefault="0017525B" w:rsidP="00CA415A">
            <w:pPr>
              <w:pStyle w:val="Table"/>
              <w:rPr>
                <w:lang w:val="en-GB" w:eastAsia="en-US"/>
              </w:rPr>
            </w:pPr>
            <w:r>
              <w:rPr>
                <w:lang w:val="en-GB" w:eastAsia="en-US"/>
              </w:rPr>
              <w:t>Is the person or persons directly or indirectly involved in the incident</w:t>
            </w:r>
          </w:p>
        </w:tc>
      </w:tr>
      <w:tr w:rsidR="0017525B" w:rsidRPr="00072B95" w14:paraId="1DA47402" w14:textId="77777777" w:rsidTr="00CA415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cantSplit/>
          <w:trHeight w:val="406"/>
        </w:trPr>
        <w:tc>
          <w:tcPr>
            <w:tcW w:w="2405" w:type="dxa"/>
            <w:shd w:val="clear" w:color="auto" w:fill="auto"/>
            <w:vAlign w:val="center"/>
          </w:tcPr>
          <w:p w14:paraId="32BD4CB2" w14:textId="77777777" w:rsidR="0017525B" w:rsidRPr="00E84B36" w:rsidRDefault="0017525B" w:rsidP="00CA415A">
            <w:pPr>
              <w:spacing w:before="120" w:after="120"/>
              <w:jc w:val="left"/>
              <w:rPr>
                <w:rFonts w:cs="Arial"/>
                <w:sz w:val="20"/>
                <w:szCs w:val="20"/>
              </w:rPr>
            </w:pPr>
            <w:r w:rsidRPr="00E84B36">
              <w:rPr>
                <w:rFonts w:cs="Arial"/>
                <w:sz w:val="20"/>
                <w:szCs w:val="20"/>
              </w:rPr>
              <w:t>Injury</w:t>
            </w:r>
          </w:p>
        </w:tc>
        <w:tc>
          <w:tcPr>
            <w:tcW w:w="7376" w:type="dxa"/>
            <w:shd w:val="clear" w:color="auto" w:fill="auto"/>
            <w:vAlign w:val="center"/>
          </w:tcPr>
          <w:p w14:paraId="233404AF" w14:textId="77777777" w:rsidR="0017525B" w:rsidRPr="00E84B36" w:rsidRDefault="0017525B" w:rsidP="00CA415A">
            <w:pPr>
              <w:spacing w:before="120" w:after="120"/>
              <w:jc w:val="left"/>
              <w:rPr>
                <w:rFonts w:cs="Arial"/>
                <w:sz w:val="20"/>
                <w:szCs w:val="20"/>
              </w:rPr>
            </w:pPr>
            <w:r w:rsidRPr="00E84B36">
              <w:rPr>
                <w:rFonts w:cs="Arial"/>
                <w:sz w:val="20"/>
                <w:szCs w:val="20"/>
              </w:rPr>
              <w:t>Damage or harm done to or suffered by a person such as a laceration or wound. An injury usually involves a single event or exposure.</w:t>
            </w:r>
          </w:p>
        </w:tc>
      </w:tr>
      <w:tr w:rsidR="0017525B" w:rsidRPr="00072B95" w14:paraId="32578C28" w14:textId="77777777" w:rsidTr="00CA415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cantSplit/>
          <w:trHeight w:val="717"/>
        </w:trPr>
        <w:tc>
          <w:tcPr>
            <w:tcW w:w="2405" w:type="dxa"/>
            <w:shd w:val="clear" w:color="auto" w:fill="auto"/>
            <w:vAlign w:val="center"/>
          </w:tcPr>
          <w:p w14:paraId="490340AD" w14:textId="77777777" w:rsidR="0017525B" w:rsidRPr="00E84B36" w:rsidRDefault="0017525B" w:rsidP="00CA415A">
            <w:pPr>
              <w:spacing w:before="120" w:after="120"/>
              <w:jc w:val="left"/>
              <w:rPr>
                <w:rFonts w:cs="Arial"/>
                <w:sz w:val="20"/>
              </w:rPr>
            </w:pPr>
            <w:r w:rsidRPr="00E84B36">
              <w:rPr>
                <w:rFonts w:cs="Arial"/>
                <w:sz w:val="20"/>
              </w:rPr>
              <w:t>Illness</w:t>
            </w:r>
          </w:p>
        </w:tc>
        <w:tc>
          <w:tcPr>
            <w:tcW w:w="7376" w:type="dxa"/>
            <w:shd w:val="clear" w:color="auto" w:fill="auto"/>
            <w:vAlign w:val="center"/>
          </w:tcPr>
          <w:p w14:paraId="1CD4FF6C" w14:textId="77777777" w:rsidR="0017525B" w:rsidRPr="00E84B36" w:rsidRDefault="0017525B" w:rsidP="00CA415A">
            <w:pPr>
              <w:spacing w:before="120" w:after="120"/>
              <w:jc w:val="left"/>
              <w:rPr>
                <w:rFonts w:cs="Arial"/>
                <w:sz w:val="20"/>
              </w:rPr>
            </w:pPr>
            <w:r w:rsidRPr="00E84B36">
              <w:rPr>
                <w:rFonts w:cs="Arial"/>
                <w:sz w:val="20"/>
              </w:rPr>
              <w:t>Any abnormal condition or disorder, other than one resulting from an injury, caused by exposure to environmental &amp; workplace factors. It includes acute and chronic illnesses or diseases which may be caused by inhalation, absorption, ingestion, direct contact or repetitive exposure.</w:t>
            </w:r>
          </w:p>
        </w:tc>
      </w:tr>
      <w:tr w:rsidR="0017525B" w:rsidRPr="00072B95" w14:paraId="0AFDF999" w14:textId="77777777" w:rsidTr="00CA415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cantSplit/>
          <w:trHeight w:val="115"/>
        </w:trPr>
        <w:tc>
          <w:tcPr>
            <w:tcW w:w="2405" w:type="dxa"/>
            <w:shd w:val="clear" w:color="auto" w:fill="auto"/>
            <w:vAlign w:val="center"/>
          </w:tcPr>
          <w:p w14:paraId="63A89DAA" w14:textId="77777777" w:rsidR="0017525B" w:rsidRPr="00E84B36" w:rsidRDefault="0017525B" w:rsidP="00CA415A">
            <w:pPr>
              <w:spacing w:before="120" w:after="120"/>
              <w:jc w:val="left"/>
              <w:rPr>
                <w:rFonts w:cs="Arial"/>
                <w:sz w:val="20"/>
              </w:rPr>
            </w:pPr>
            <w:r w:rsidRPr="00E84B36">
              <w:rPr>
                <w:rFonts w:cs="Arial"/>
                <w:sz w:val="20"/>
              </w:rPr>
              <w:t>Minor spill</w:t>
            </w:r>
          </w:p>
        </w:tc>
        <w:tc>
          <w:tcPr>
            <w:tcW w:w="7376" w:type="dxa"/>
            <w:shd w:val="clear" w:color="auto" w:fill="auto"/>
            <w:vAlign w:val="center"/>
          </w:tcPr>
          <w:p w14:paraId="56B5795E" w14:textId="77777777" w:rsidR="0017525B" w:rsidRPr="00E84B36" w:rsidRDefault="0017525B" w:rsidP="00CA415A">
            <w:pPr>
              <w:spacing w:before="120" w:after="120"/>
              <w:jc w:val="left"/>
              <w:rPr>
                <w:rFonts w:cs="Arial"/>
                <w:sz w:val="20"/>
              </w:rPr>
            </w:pPr>
            <w:r>
              <w:rPr>
                <w:rFonts w:cs="Arial"/>
                <w:sz w:val="20"/>
              </w:rPr>
              <w:t>Less than 20 litres</w:t>
            </w:r>
          </w:p>
        </w:tc>
      </w:tr>
      <w:tr w:rsidR="0017525B" w:rsidRPr="00072B95" w14:paraId="0B89844E" w14:textId="77777777" w:rsidTr="00CA415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cantSplit/>
          <w:trHeight w:val="115"/>
        </w:trPr>
        <w:tc>
          <w:tcPr>
            <w:tcW w:w="2405" w:type="dxa"/>
            <w:shd w:val="clear" w:color="auto" w:fill="auto"/>
            <w:vAlign w:val="center"/>
          </w:tcPr>
          <w:p w14:paraId="4C5D0C04" w14:textId="77777777" w:rsidR="0017525B" w:rsidRPr="00E84B36" w:rsidRDefault="0017525B" w:rsidP="00CA415A">
            <w:pPr>
              <w:spacing w:before="120" w:after="120"/>
              <w:jc w:val="left"/>
              <w:rPr>
                <w:rFonts w:cs="Arial"/>
                <w:sz w:val="20"/>
              </w:rPr>
            </w:pPr>
            <w:r>
              <w:rPr>
                <w:rFonts w:cs="Arial"/>
                <w:sz w:val="20"/>
              </w:rPr>
              <w:t>PEEPO</w:t>
            </w:r>
          </w:p>
        </w:tc>
        <w:tc>
          <w:tcPr>
            <w:tcW w:w="7376" w:type="dxa"/>
            <w:shd w:val="clear" w:color="auto" w:fill="auto"/>
            <w:vAlign w:val="center"/>
          </w:tcPr>
          <w:p w14:paraId="28A2E074" w14:textId="77777777" w:rsidR="0017525B" w:rsidRDefault="0017525B" w:rsidP="00CA415A">
            <w:pPr>
              <w:spacing w:before="120" w:after="120"/>
              <w:jc w:val="left"/>
              <w:rPr>
                <w:rFonts w:cs="Arial"/>
                <w:sz w:val="20"/>
              </w:rPr>
            </w:pPr>
            <w:r>
              <w:rPr>
                <w:rFonts w:cs="Arial"/>
                <w:sz w:val="20"/>
              </w:rPr>
              <w:t>Acronym for the process of data collection. People, Environment, Equipment, Procedures, Organisation</w:t>
            </w:r>
          </w:p>
        </w:tc>
      </w:tr>
      <w:tr w:rsidR="0017525B" w:rsidRPr="00072B95" w14:paraId="53675F6D" w14:textId="77777777" w:rsidTr="00CA415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cantSplit/>
          <w:trHeight w:val="115"/>
        </w:trPr>
        <w:tc>
          <w:tcPr>
            <w:tcW w:w="2405" w:type="dxa"/>
            <w:shd w:val="clear" w:color="auto" w:fill="auto"/>
            <w:vAlign w:val="center"/>
          </w:tcPr>
          <w:p w14:paraId="35A566B9" w14:textId="77777777" w:rsidR="0017525B" w:rsidRDefault="0017525B" w:rsidP="00CA415A">
            <w:pPr>
              <w:spacing w:before="120" w:after="120"/>
              <w:jc w:val="left"/>
              <w:rPr>
                <w:rFonts w:cs="Arial"/>
                <w:sz w:val="20"/>
              </w:rPr>
            </w:pPr>
            <w:r>
              <w:rPr>
                <w:rFonts w:cs="Arial"/>
                <w:sz w:val="20"/>
              </w:rPr>
              <w:t>Preventative Actions</w:t>
            </w:r>
          </w:p>
        </w:tc>
        <w:tc>
          <w:tcPr>
            <w:tcW w:w="7376" w:type="dxa"/>
            <w:shd w:val="clear" w:color="auto" w:fill="auto"/>
            <w:vAlign w:val="center"/>
          </w:tcPr>
          <w:p w14:paraId="25629E80" w14:textId="77777777" w:rsidR="0017525B" w:rsidRPr="00876580" w:rsidRDefault="0017525B" w:rsidP="00CA415A">
            <w:pPr>
              <w:spacing w:before="120" w:after="120"/>
              <w:jc w:val="left"/>
              <w:rPr>
                <w:rFonts w:cs="Arial"/>
                <w:sz w:val="20"/>
                <w:szCs w:val="20"/>
              </w:rPr>
            </w:pPr>
            <w:r w:rsidRPr="00876580">
              <w:rPr>
                <w:sz w:val="20"/>
                <w:szCs w:val="20"/>
                <w:lang w:eastAsia="x-none"/>
              </w:rPr>
              <w:t>Actions which, if adopted, should prevent or reduce the likelihood of the incident recurring</w:t>
            </w:r>
          </w:p>
        </w:tc>
      </w:tr>
      <w:tr w:rsidR="0017525B" w:rsidRPr="003F12A3" w14:paraId="3AC902F3" w14:textId="77777777" w:rsidTr="00CA415A">
        <w:trPr>
          <w:cantSplit/>
          <w:trHeight w:val="427"/>
        </w:trPr>
        <w:tc>
          <w:tcPr>
            <w:tcW w:w="2405" w:type="dxa"/>
            <w:shd w:val="clear" w:color="auto" w:fill="auto"/>
            <w:vAlign w:val="center"/>
          </w:tcPr>
          <w:p w14:paraId="3FC4CB03" w14:textId="77777777" w:rsidR="0017525B" w:rsidRPr="003F12A3" w:rsidRDefault="0017525B" w:rsidP="00CA415A">
            <w:pPr>
              <w:pStyle w:val="Table"/>
              <w:rPr>
                <w:lang w:val="en-GB" w:eastAsia="en-US"/>
              </w:rPr>
            </w:pPr>
            <w:r>
              <w:rPr>
                <w:lang w:val="en-GB" w:eastAsia="en-US"/>
              </w:rPr>
              <w:t>Reportable Incident</w:t>
            </w:r>
          </w:p>
        </w:tc>
        <w:tc>
          <w:tcPr>
            <w:tcW w:w="7376" w:type="dxa"/>
            <w:shd w:val="clear" w:color="auto" w:fill="auto"/>
            <w:vAlign w:val="center"/>
          </w:tcPr>
          <w:p w14:paraId="7BAD19F0" w14:textId="77777777" w:rsidR="0017525B" w:rsidRPr="003F12A3" w:rsidRDefault="0017525B" w:rsidP="00CA415A">
            <w:pPr>
              <w:pStyle w:val="Table"/>
              <w:rPr>
                <w:lang w:val="en-GB" w:eastAsia="en-US"/>
              </w:rPr>
            </w:pPr>
            <w:r>
              <w:rPr>
                <w:lang w:val="en-GB" w:eastAsia="en-US"/>
              </w:rPr>
              <w:t>Any incident that is required to be reported to a government authority, such as a High Potential Incident or Serious Accident.</w:t>
            </w:r>
          </w:p>
        </w:tc>
      </w:tr>
      <w:tr w:rsidR="0017525B" w:rsidRPr="003F12A3" w14:paraId="42EB89E5" w14:textId="77777777" w:rsidTr="00CA415A">
        <w:trPr>
          <w:cantSplit/>
          <w:trHeight w:val="427"/>
        </w:trPr>
        <w:tc>
          <w:tcPr>
            <w:tcW w:w="2405" w:type="dxa"/>
            <w:shd w:val="clear" w:color="auto" w:fill="auto"/>
            <w:vAlign w:val="center"/>
          </w:tcPr>
          <w:p w14:paraId="4C82FA5F" w14:textId="77777777" w:rsidR="0017525B" w:rsidRPr="003F12A3" w:rsidRDefault="0017525B" w:rsidP="00CA415A">
            <w:pPr>
              <w:pStyle w:val="Table"/>
              <w:rPr>
                <w:lang w:val="en-GB" w:eastAsia="en-US"/>
              </w:rPr>
            </w:pPr>
            <w:r>
              <w:rPr>
                <w:lang w:val="en-GB" w:eastAsia="en-US"/>
              </w:rPr>
              <w:t>Witness</w:t>
            </w:r>
          </w:p>
        </w:tc>
        <w:tc>
          <w:tcPr>
            <w:tcW w:w="7376" w:type="dxa"/>
            <w:shd w:val="clear" w:color="auto" w:fill="auto"/>
            <w:vAlign w:val="center"/>
          </w:tcPr>
          <w:p w14:paraId="57CBDD09" w14:textId="77777777" w:rsidR="0017525B" w:rsidRPr="003F12A3" w:rsidRDefault="0017525B" w:rsidP="00CA415A">
            <w:pPr>
              <w:pStyle w:val="Table"/>
              <w:rPr>
                <w:lang w:val="en-GB" w:eastAsia="en-US"/>
              </w:rPr>
            </w:pPr>
            <w:r>
              <w:rPr>
                <w:lang w:val="en-GB" w:eastAsia="en-US"/>
              </w:rPr>
              <w:t>A person who is not directly involved but has direct knowledge of aspects of the incident.</w:t>
            </w:r>
          </w:p>
        </w:tc>
      </w:tr>
      <w:tr w:rsidR="0017525B" w:rsidRPr="003F12A3" w14:paraId="17AA2D75" w14:textId="77777777" w:rsidTr="00CA415A">
        <w:trPr>
          <w:cantSplit/>
          <w:trHeight w:val="427"/>
        </w:trPr>
        <w:tc>
          <w:tcPr>
            <w:tcW w:w="2405" w:type="dxa"/>
            <w:shd w:val="clear" w:color="auto" w:fill="auto"/>
            <w:vAlign w:val="center"/>
          </w:tcPr>
          <w:p w14:paraId="6115F80C" w14:textId="77777777" w:rsidR="0017525B" w:rsidRDefault="0017525B" w:rsidP="00CA415A">
            <w:pPr>
              <w:pStyle w:val="Table"/>
              <w:rPr>
                <w:lang w:val="en-GB" w:eastAsia="en-US"/>
              </w:rPr>
            </w:pPr>
            <w:r>
              <w:rPr>
                <w:lang w:val="en-GB" w:eastAsia="en-US"/>
              </w:rPr>
              <w:t>Work Related Injury or Illness (WRI)</w:t>
            </w:r>
          </w:p>
        </w:tc>
        <w:tc>
          <w:tcPr>
            <w:tcW w:w="7376" w:type="dxa"/>
            <w:shd w:val="clear" w:color="auto" w:fill="auto"/>
            <w:vAlign w:val="center"/>
          </w:tcPr>
          <w:p w14:paraId="22D9C6BE" w14:textId="77777777" w:rsidR="0017525B" w:rsidRDefault="0017525B" w:rsidP="00CA415A">
            <w:pPr>
              <w:pStyle w:val="Table"/>
              <w:rPr>
                <w:lang w:val="en-GB" w:eastAsia="en-US"/>
              </w:rPr>
            </w:pPr>
            <w:r>
              <w:rPr>
                <w:lang w:val="en-GB" w:eastAsia="en-US"/>
              </w:rPr>
              <w:t>For the purpose of investigation a WRI is considered work related where it occurs at the workplace mine worker or due to work related activities.</w:t>
            </w:r>
          </w:p>
        </w:tc>
      </w:tr>
    </w:tbl>
    <w:p w14:paraId="769EB173" w14:textId="77777777" w:rsidR="0017525B" w:rsidRPr="0024724D" w:rsidRDefault="0017525B" w:rsidP="00346EC7">
      <w:pPr>
        <w:pStyle w:val="Heading1"/>
      </w:pPr>
      <w:bookmarkStart w:id="21" w:name="_Toc536616901"/>
      <w:bookmarkStart w:id="22" w:name="_Toc10737592"/>
      <w:bookmarkStart w:id="23" w:name="_Toc75784374"/>
      <w:r w:rsidRPr="0024724D">
        <w:lastRenderedPageBreak/>
        <w:t>PROCE</w:t>
      </w:r>
      <w:r>
        <w:t>SS</w:t>
      </w:r>
      <w:bookmarkEnd w:id="21"/>
      <w:bookmarkEnd w:id="22"/>
      <w:bookmarkEnd w:id="23"/>
    </w:p>
    <w:p w14:paraId="410A81B6" w14:textId="4D935C98" w:rsidR="0017525B" w:rsidRDefault="0017525B" w:rsidP="0017525B">
      <w:pPr>
        <w:spacing w:before="120" w:after="120"/>
        <w:ind w:left="567"/>
      </w:pPr>
      <w:r>
        <w:rPr>
          <w:lang w:val="en-GB" w:eastAsia="en-US"/>
        </w:rPr>
        <w:t xml:space="preserve">Kaius Mine </w:t>
      </w:r>
      <w:r w:rsidRPr="006D36DA">
        <w:rPr>
          <w:lang w:val="en-GB" w:eastAsia="en-US"/>
        </w:rPr>
        <w:t xml:space="preserve">shall </w:t>
      </w:r>
      <w:r>
        <w:rPr>
          <w:lang w:val="en-GB" w:eastAsia="en-US"/>
        </w:rPr>
        <w:t xml:space="preserve">investigate and </w:t>
      </w:r>
      <w:r w:rsidRPr="006D36DA">
        <w:rPr>
          <w:lang w:val="en-GB" w:eastAsia="en-US"/>
        </w:rPr>
        <w:t>document Incident</w:t>
      </w:r>
      <w:r>
        <w:rPr>
          <w:lang w:val="en-GB" w:eastAsia="en-US"/>
        </w:rPr>
        <w:t>s and potential incidents. The incident investigation process follows the ICAM structure and for incidents with an actual consequence of moderate and above or a potential consequence of Major or above an actual ICAM investigation will be carried out</w:t>
      </w:r>
      <w:r>
        <w:t>.</w:t>
      </w:r>
    </w:p>
    <w:p w14:paraId="4B1F038D" w14:textId="77777777" w:rsidR="0017525B" w:rsidRPr="006D36DA" w:rsidRDefault="0017525B" w:rsidP="0017525B">
      <w:pPr>
        <w:keepNext/>
        <w:numPr>
          <w:ilvl w:val="1"/>
          <w:numId w:val="4"/>
        </w:numPr>
        <w:tabs>
          <w:tab w:val="left" w:pos="567"/>
        </w:tabs>
        <w:spacing w:before="240" w:after="60"/>
        <w:jc w:val="left"/>
        <w:outlineLvl w:val="1"/>
        <w:rPr>
          <w:b/>
        </w:rPr>
      </w:pPr>
      <w:bookmarkStart w:id="24" w:name="_Toc10737594"/>
      <w:r w:rsidRPr="006D36DA">
        <w:rPr>
          <w:b/>
        </w:rPr>
        <w:t xml:space="preserve">Investigation Process Involving </w:t>
      </w:r>
      <w:r>
        <w:rPr>
          <w:b/>
        </w:rPr>
        <w:t>Nine (9)</w:t>
      </w:r>
      <w:r w:rsidRPr="006D36DA">
        <w:rPr>
          <w:b/>
        </w:rPr>
        <w:t xml:space="preserve"> Steps</w:t>
      </w:r>
      <w:bookmarkEnd w:id="24"/>
    </w:p>
    <w:p w14:paraId="7FD8094B" w14:textId="77777777" w:rsidR="0017525B" w:rsidRDefault="0017525B" w:rsidP="0017525B">
      <w:pPr>
        <w:spacing w:before="120" w:after="120"/>
        <w:ind w:left="567"/>
        <w:rPr>
          <w:lang w:val="en-GB" w:eastAsia="en-US"/>
        </w:rPr>
      </w:pPr>
      <w:r w:rsidRPr="006D36DA">
        <w:rPr>
          <w:lang w:val="en-GB" w:eastAsia="en-US"/>
        </w:rPr>
        <w:t>The incident investigation process</w:t>
      </w:r>
      <w:r>
        <w:rPr>
          <w:lang w:val="en-GB" w:eastAsia="en-US"/>
        </w:rPr>
        <w:t xml:space="preserve"> is made up of nine (9) steps and these steps should be followed to ensure a thorough investigation.</w:t>
      </w:r>
      <w:r w:rsidRPr="006D36DA">
        <w:rPr>
          <w:lang w:val="en-GB" w:eastAsia="en-US"/>
        </w:rPr>
        <w:t xml:space="preserve"> Some steps can be conducted together.</w:t>
      </w:r>
    </w:p>
    <w:p w14:paraId="1DE9709E" w14:textId="77777777" w:rsidR="0017525B" w:rsidRDefault="0017525B" w:rsidP="004279CE">
      <w:pPr>
        <w:pStyle w:val="ListParagraph"/>
        <w:numPr>
          <w:ilvl w:val="0"/>
          <w:numId w:val="12"/>
        </w:numPr>
        <w:spacing w:before="120" w:after="120"/>
        <w:rPr>
          <w:lang w:val="en-GB" w:eastAsia="en-US"/>
        </w:rPr>
      </w:pPr>
      <w:r>
        <w:rPr>
          <w:lang w:val="en-GB" w:eastAsia="en-US"/>
        </w:rPr>
        <w:t>Immediate Actions</w:t>
      </w:r>
    </w:p>
    <w:p w14:paraId="1F92264E" w14:textId="77777777" w:rsidR="0017525B" w:rsidRDefault="0017525B" w:rsidP="004279CE">
      <w:pPr>
        <w:pStyle w:val="ListParagraph"/>
        <w:numPr>
          <w:ilvl w:val="0"/>
          <w:numId w:val="12"/>
        </w:numPr>
        <w:spacing w:before="120" w:after="120"/>
        <w:rPr>
          <w:lang w:val="en-GB" w:eastAsia="en-US"/>
        </w:rPr>
      </w:pPr>
      <w:r>
        <w:rPr>
          <w:lang w:val="en-GB" w:eastAsia="en-US"/>
        </w:rPr>
        <w:t>Classify Incident</w:t>
      </w:r>
    </w:p>
    <w:p w14:paraId="44D44E0F" w14:textId="77777777" w:rsidR="0017525B" w:rsidRDefault="0017525B" w:rsidP="004279CE">
      <w:pPr>
        <w:pStyle w:val="ListParagraph"/>
        <w:numPr>
          <w:ilvl w:val="0"/>
          <w:numId w:val="12"/>
        </w:numPr>
        <w:spacing w:before="120" w:after="120"/>
        <w:rPr>
          <w:lang w:val="en-GB" w:eastAsia="en-US"/>
        </w:rPr>
      </w:pPr>
      <w:r>
        <w:rPr>
          <w:lang w:val="en-GB" w:eastAsia="en-US"/>
        </w:rPr>
        <w:t>Incident Notification</w:t>
      </w:r>
    </w:p>
    <w:p w14:paraId="1FC3797B" w14:textId="77777777" w:rsidR="0017525B" w:rsidRDefault="0017525B" w:rsidP="004279CE">
      <w:pPr>
        <w:pStyle w:val="ListParagraph"/>
        <w:numPr>
          <w:ilvl w:val="0"/>
          <w:numId w:val="12"/>
        </w:numPr>
        <w:spacing w:before="120" w:after="120"/>
        <w:rPr>
          <w:lang w:val="en-GB" w:eastAsia="en-US"/>
        </w:rPr>
      </w:pPr>
      <w:r>
        <w:rPr>
          <w:lang w:val="en-GB" w:eastAsia="en-US"/>
        </w:rPr>
        <w:t>Investigation Planning</w:t>
      </w:r>
    </w:p>
    <w:p w14:paraId="291829F8" w14:textId="77777777" w:rsidR="0017525B" w:rsidRDefault="0017525B" w:rsidP="004279CE">
      <w:pPr>
        <w:pStyle w:val="ListParagraph"/>
        <w:numPr>
          <w:ilvl w:val="0"/>
          <w:numId w:val="12"/>
        </w:numPr>
        <w:spacing w:before="120" w:after="120"/>
        <w:rPr>
          <w:lang w:val="en-GB" w:eastAsia="en-US"/>
        </w:rPr>
      </w:pPr>
      <w:r>
        <w:rPr>
          <w:lang w:val="en-GB" w:eastAsia="en-US"/>
        </w:rPr>
        <w:t>Data collection</w:t>
      </w:r>
    </w:p>
    <w:p w14:paraId="1F0ED11C" w14:textId="77777777" w:rsidR="0017525B" w:rsidRDefault="0017525B" w:rsidP="004279CE">
      <w:pPr>
        <w:pStyle w:val="ListParagraph"/>
        <w:numPr>
          <w:ilvl w:val="0"/>
          <w:numId w:val="12"/>
        </w:numPr>
        <w:spacing w:before="120" w:after="120"/>
        <w:rPr>
          <w:lang w:val="en-GB" w:eastAsia="en-US"/>
        </w:rPr>
      </w:pPr>
      <w:r>
        <w:rPr>
          <w:lang w:val="en-GB" w:eastAsia="en-US"/>
        </w:rPr>
        <w:t>Data Organisation</w:t>
      </w:r>
    </w:p>
    <w:p w14:paraId="1678D3A0" w14:textId="77777777" w:rsidR="0017525B" w:rsidRDefault="0017525B" w:rsidP="004279CE">
      <w:pPr>
        <w:pStyle w:val="ListParagraph"/>
        <w:numPr>
          <w:ilvl w:val="0"/>
          <w:numId w:val="12"/>
        </w:numPr>
        <w:spacing w:before="120" w:after="120"/>
        <w:rPr>
          <w:lang w:val="en-GB" w:eastAsia="en-US"/>
        </w:rPr>
      </w:pPr>
      <w:r>
        <w:rPr>
          <w:lang w:val="en-GB" w:eastAsia="en-US"/>
        </w:rPr>
        <w:t>Data Analysis</w:t>
      </w:r>
    </w:p>
    <w:p w14:paraId="345B5A4C" w14:textId="77777777" w:rsidR="0017525B" w:rsidRDefault="0017525B" w:rsidP="004279CE">
      <w:pPr>
        <w:pStyle w:val="ListParagraph"/>
        <w:numPr>
          <w:ilvl w:val="0"/>
          <w:numId w:val="12"/>
        </w:numPr>
        <w:spacing w:before="120" w:after="120"/>
        <w:rPr>
          <w:lang w:val="en-GB" w:eastAsia="en-US"/>
        </w:rPr>
      </w:pPr>
      <w:r>
        <w:rPr>
          <w:lang w:val="en-GB" w:eastAsia="en-US"/>
        </w:rPr>
        <w:t>Conclusions and Recommended Corrective Actions</w:t>
      </w:r>
    </w:p>
    <w:p w14:paraId="2FA3DFCA" w14:textId="77777777" w:rsidR="0017525B" w:rsidRPr="00BF7E2B" w:rsidRDefault="0017525B" w:rsidP="004279CE">
      <w:pPr>
        <w:pStyle w:val="ListParagraph"/>
        <w:numPr>
          <w:ilvl w:val="0"/>
          <w:numId w:val="12"/>
        </w:numPr>
        <w:spacing w:before="120" w:after="120"/>
        <w:rPr>
          <w:lang w:val="en-GB" w:eastAsia="en-US"/>
        </w:rPr>
      </w:pPr>
      <w:r>
        <w:rPr>
          <w:lang w:val="en-GB" w:eastAsia="en-US"/>
        </w:rPr>
        <w:t>Report Results of Investigation</w:t>
      </w:r>
    </w:p>
    <w:p w14:paraId="3CCD1B7B" w14:textId="77777777" w:rsidR="0017525B" w:rsidRPr="00BF61F5" w:rsidRDefault="0017525B" w:rsidP="0017525B">
      <w:pPr>
        <w:keepNext/>
        <w:numPr>
          <w:ilvl w:val="2"/>
          <w:numId w:val="4"/>
        </w:numPr>
        <w:tabs>
          <w:tab w:val="left" w:pos="1134"/>
        </w:tabs>
        <w:spacing w:before="240" w:after="60"/>
        <w:jc w:val="left"/>
        <w:outlineLvl w:val="2"/>
        <w:rPr>
          <w:rFonts w:cs="Arial"/>
          <w:b/>
          <w:bCs/>
          <w:szCs w:val="22"/>
          <w:lang w:eastAsia="x-none"/>
        </w:rPr>
      </w:pPr>
      <w:bookmarkStart w:id="25" w:name="_Toc536616906"/>
      <w:bookmarkStart w:id="26" w:name="_Toc10737597"/>
      <w:bookmarkStart w:id="27" w:name="_Toc536616904"/>
      <w:bookmarkStart w:id="28" w:name="_Toc10737595"/>
      <w:r w:rsidRPr="00BF61F5">
        <w:rPr>
          <w:b/>
          <w:lang w:eastAsia="x-none"/>
        </w:rPr>
        <w:t xml:space="preserve">Step </w:t>
      </w:r>
      <w:r>
        <w:rPr>
          <w:b/>
          <w:lang w:eastAsia="x-none"/>
        </w:rPr>
        <w:t>1:</w:t>
      </w:r>
      <w:r w:rsidRPr="00BF61F5">
        <w:rPr>
          <w:lang w:eastAsia="x-none"/>
        </w:rPr>
        <w:t xml:space="preserve"> </w:t>
      </w:r>
      <w:r w:rsidRPr="00BF61F5">
        <w:rPr>
          <w:rFonts w:cs="Arial"/>
          <w:b/>
          <w:bCs/>
          <w:szCs w:val="22"/>
          <w:lang w:eastAsia="x-none"/>
        </w:rPr>
        <w:t>Immediate Action Taken</w:t>
      </w:r>
      <w:bookmarkEnd w:id="25"/>
      <w:bookmarkEnd w:id="26"/>
    </w:p>
    <w:p w14:paraId="23A40205" w14:textId="77777777" w:rsidR="0017525B" w:rsidRDefault="0017525B" w:rsidP="0017525B">
      <w:pPr>
        <w:pStyle w:val="Body"/>
      </w:pPr>
      <w:r w:rsidRPr="00BF61F5">
        <w:t xml:space="preserve">Emergency response actions take precedence over initial investigative actions. </w:t>
      </w:r>
      <w:r>
        <w:t>Once an incident has been resolved, injured personnel have been seen to, damage to plant or environment controlled, the scene of an incident shall be preserved. This includes isolating an area, preventing access by all non-essential personnel and stopping all activity that make affect the scene or evidence.</w:t>
      </w:r>
    </w:p>
    <w:p w14:paraId="65EE4677" w14:textId="77777777" w:rsidR="0017525B" w:rsidRPr="00BF61F5" w:rsidRDefault="0017525B" w:rsidP="0017525B">
      <w:pPr>
        <w:pStyle w:val="Heading4"/>
        <w:numPr>
          <w:ilvl w:val="0"/>
          <w:numId w:val="0"/>
        </w:numPr>
        <w:ind w:left="864"/>
      </w:pPr>
      <w:r w:rsidRPr="00BF61F5">
        <w:t xml:space="preserve">Table </w:t>
      </w:r>
      <w:r>
        <w:t>1:</w:t>
      </w:r>
      <w:r w:rsidRPr="00BF61F5">
        <w:t xml:space="preserve"> Key </w:t>
      </w:r>
      <w:r>
        <w:t>R</w:t>
      </w:r>
      <w:r w:rsidRPr="00BF61F5">
        <w:t xml:space="preserve">equirements when </w:t>
      </w:r>
      <w:r>
        <w:t>R</w:t>
      </w:r>
      <w:r w:rsidRPr="00BF61F5">
        <w:t xml:space="preserve">esponding to an </w:t>
      </w:r>
      <w:r>
        <w:t>I</w:t>
      </w:r>
      <w:r w:rsidRPr="00BF61F5">
        <w:t>ncident</w:t>
      </w:r>
    </w:p>
    <w:tbl>
      <w:tblPr>
        <w:tblW w:w="4740" w:type="pct"/>
        <w:tblInd w:w="534" w:type="dxa"/>
        <w:tblLook w:val="04A0" w:firstRow="1" w:lastRow="0" w:firstColumn="1" w:lastColumn="0" w:noHBand="0" w:noVBand="1"/>
      </w:tblPr>
      <w:tblGrid>
        <w:gridCol w:w="439"/>
        <w:gridCol w:w="6134"/>
        <w:gridCol w:w="1407"/>
        <w:gridCol w:w="1410"/>
      </w:tblGrid>
      <w:tr w:rsidR="0017525B" w:rsidRPr="00BF61F5" w14:paraId="35FB2D6A" w14:textId="77777777" w:rsidTr="00CA415A">
        <w:trPr>
          <w:cantSplit/>
          <w:trHeight w:val="87"/>
          <w:tblHeader/>
        </w:trPr>
        <w:tc>
          <w:tcPr>
            <w:tcW w:w="234" w:type="pct"/>
            <w:tcBorders>
              <w:top w:val="single" w:sz="4" w:space="0" w:color="auto"/>
              <w:left w:val="single" w:sz="4" w:space="0" w:color="auto"/>
              <w:bottom w:val="single" w:sz="4" w:space="0" w:color="auto"/>
              <w:right w:val="single" w:sz="4" w:space="0" w:color="auto"/>
            </w:tcBorders>
            <w:shd w:val="clear" w:color="auto" w:fill="F2F2F2"/>
          </w:tcPr>
          <w:p w14:paraId="01123C78" w14:textId="77777777" w:rsidR="0017525B" w:rsidRPr="00BF61F5" w:rsidRDefault="0017525B" w:rsidP="00CA415A">
            <w:pPr>
              <w:spacing w:before="40" w:after="40"/>
              <w:jc w:val="center"/>
              <w:rPr>
                <w:sz w:val="16"/>
                <w:szCs w:val="20"/>
                <w:lang w:val="en-GB"/>
              </w:rPr>
            </w:pPr>
          </w:p>
        </w:tc>
        <w:tc>
          <w:tcPr>
            <w:tcW w:w="3266" w:type="pct"/>
            <w:tcBorders>
              <w:top w:val="single" w:sz="4" w:space="0" w:color="auto"/>
              <w:left w:val="single" w:sz="4" w:space="0" w:color="auto"/>
              <w:bottom w:val="single" w:sz="4" w:space="0" w:color="auto"/>
              <w:right w:val="single" w:sz="4" w:space="0" w:color="auto"/>
            </w:tcBorders>
            <w:shd w:val="clear" w:color="auto" w:fill="F2F2F2"/>
            <w:vAlign w:val="center"/>
          </w:tcPr>
          <w:p w14:paraId="33A67706" w14:textId="77777777" w:rsidR="0017525B" w:rsidRPr="00BF61F5" w:rsidRDefault="0017525B" w:rsidP="00CA415A">
            <w:pPr>
              <w:spacing w:before="40" w:after="40"/>
              <w:jc w:val="left"/>
              <w:rPr>
                <w:sz w:val="16"/>
                <w:szCs w:val="20"/>
                <w:lang w:val="en-GB"/>
              </w:rPr>
            </w:pPr>
            <w:r w:rsidRPr="00BF61F5">
              <w:rPr>
                <w:sz w:val="16"/>
                <w:szCs w:val="20"/>
                <w:lang w:val="en-GB"/>
              </w:rPr>
              <w:t>Incident Response</w:t>
            </w:r>
          </w:p>
        </w:tc>
        <w:tc>
          <w:tcPr>
            <w:tcW w:w="1500" w:type="pct"/>
            <w:gridSpan w:val="2"/>
            <w:tcBorders>
              <w:top w:val="single" w:sz="4" w:space="0" w:color="auto"/>
              <w:left w:val="nil"/>
              <w:bottom w:val="single" w:sz="4" w:space="0" w:color="auto"/>
              <w:right w:val="single" w:sz="4" w:space="0" w:color="auto"/>
            </w:tcBorders>
            <w:shd w:val="clear" w:color="auto" w:fill="F2F2F2"/>
            <w:vAlign w:val="center"/>
          </w:tcPr>
          <w:p w14:paraId="1430FA33" w14:textId="77777777" w:rsidR="0017525B" w:rsidRPr="00BF61F5" w:rsidRDefault="0017525B" w:rsidP="00CA415A">
            <w:pPr>
              <w:spacing w:before="40" w:after="40"/>
              <w:jc w:val="center"/>
              <w:rPr>
                <w:sz w:val="16"/>
                <w:szCs w:val="20"/>
                <w:lang w:val="en-GB"/>
              </w:rPr>
            </w:pPr>
            <w:r w:rsidRPr="00BF61F5">
              <w:rPr>
                <w:sz w:val="16"/>
                <w:szCs w:val="20"/>
                <w:lang w:val="en-GB"/>
              </w:rPr>
              <w:t>Consequence / Trigger</w:t>
            </w:r>
          </w:p>
        </w:tc>
      </w:tr>
      <w:tr w:rsidR="0017525B" w:rsidRPr="00BF61F5" w14:paraId="35FA7889" w14:textId="77777777" w:rsidTr="00CA415A">
        <w:trPr>
          <w:cantSplit/>
          <w:trHeight w:val="87"/>
          <w:tblHeader/>
        </w:trPr>
        <w:tc>
          <w:tcPr>
            <w:tcW w:w="234" w:type="pct"/>
            <w:tcBorders>
              <w:top w:val="single" w:sz="4" w:space="0" w:color="auto"/>
              <w:left w:val="single" w:sz="4" w:space="0" w:color="auto"/>
              <w:bottom w:val="single" w:sz="4" w:space="0" w:color="auto"/>
              <w:right w:val="single" w:sz="4" w:space="0" w:color="auto"/>
            </w:tcBorders>
            <w:shd w:val="clear" w:color="auto" w:fill="F2F2F2"/>
          </w:tcPr>
          <w:p w14:paraId="000A0428" w14:textId="77777777" w:rsidR="0017525B" w:rsidRPr="00BF61F5" w:rsidRDefault="0017525B" w:rsidP="00CA415A">
            <w:pPr>
              <w:spacing w:before="40" w:after="40"/>
              <w:jc w:val="center"/>
              <w:rPr>
                <w:sz w:val="16"/>
                <w:szCs w:val="20"/>
                <w:lang w:val="en-GB"/>
              </w:rPr>
            </w:pPr>
          </w:p>
        </w:tc>
        <w:tc>
          <w:tcPr>
            <w:tcW w:w="3266" w:type="pct"/>
            <w:tcBorders>
              <w:top w:val="single" w:sz="4" w:space="0" w:color="auto"/>
              <w:left w:val="single" w:sz="4" w:space="0" w:color="auto"/>
              <w:bottom w:val="single" w:sz="4" w:space="0" w:color="auto"/>
              <w:right w:val="single" w:sz="4" w:space="0" w:color="auto"/>
            </w:tcBorders>
            <w:shd w:val="clear" w:color="auto" w:fill="F2F2F2"/>
            <w:vAlign w:val="center"/>
          </w:tcPr>
          <w:p w14:paraId="1B4E16A6" w14:textId="77777777" w:rsidR="0017525B" w:rsidRPr="00BF61F5" w:rsidRDefault="0017525B" w:rsidP="00CA415A">
            <w:pPr>
              <w:spacing w:before="40" w:after="40"/>
              <w:jc w:val="left"/>
              <w:rPr>
                <w:sz w:val="16"/>
                <w:szCs w:val="20"/>
                <w:lang w:val="en-GB"/>
              </w:rPr>
            </w:pPr>
          </w:p>
        </w:tc>
        <w:tc>
          <w:tcPr>
            <w:tcW w:w="749" w:type="pct"/>
            <w:tcBorders>
              <w:top w:val="single" w:sz="4" w:space="0" w:color="auto"/>
              <w:left w:val="nil"/>
              <w:bottom w:val="single" w:sz="4" w:space="0" w:color="auto"/>
              <w:right w:val="single" w:sz="4" w:space="0" w:color="auto"/>
            </w:tcBorders>
            <w:shd w:val="clear" w:color="auto" w:fill="F2F2F2"/>
            <w:vAlign w:val="center"/>
          </w:tcPr>
          <w:p w14:paraId="1DC7A6EA" w14:textId="77777777" w:rsidR="0017525B" w:rsidRPr="00BF61F5" w:rsidRDefault="0017525B" w:rsidP="00CA415A">
            <w:pPr>
              <w:spacing w:before="40" w:after="40"/>
              <w:jc w:val="center"/>
              <w:rPr>
                <w:sz w:val="16"/>
                <w:szCs w:val="20"/>
                <w:lang w:val="en-GB"/>
              </w:rPr>
            </w:pPr>
            <w:r w:rsidRPr="00BF61F5">
              <w:rPr>
                <w:sz w:val="16"/>
                <w:szCs w:val="20"/>
                <w:lang w:val="en-GB"/>
              </w:rPr>
              <w:t>Potential</w:t>
            </w:r>
          </w:p>
        </w:tc>
        <w:tc>
          <w:tcPr>
            <w:tcW w:w="751" w:type="pct"/>
            <w:tcBorders>
              <w:top w:val="single" w:sz="4" w:space="0" w:color="auto"/>
              <w:left w:val="nil"/>
              <w:bottom w:val="single" w:sz="4" w:space="0" w:color="auto"/>
              <w:right w:val="single" w:sz="4" w:space="0" w:color="auto"/>
            </w:tcBorders>
            <w:shd w:val="clear" w:color="auto" w:fill="F2F2F2"/>
          </w:tcPr>
          <w:p w14:paraId="0F5B2080" w14:textId="77777777" w:rsidR="0017525B" w:rsidRPr="00BF61F5" w:rsidRDefault="0017525B" w:rsidP="00CA415A">
            <w:pPr>
              <w:spacing w:before="40" w:after="40"/>
              <w:jc w:val="center"/>
              <w:rPr>
                <w:sz w:val="16"/>
                <w:szCs w:val="20"/>
                <w:lang w:val="en-GB"/>
              </w:rPr>
            </w:pPr>
            <w:r w:rsidRPr="00BF61F5">
              <w:rPr>
                <w:sz w:val="16"/>
                <w:szCs w:val="20"/>
                <w:lang w:val="en-GB"/>
              </w:rPr>
              <w:t>Actual</w:t>
            </w:r>
          </w:p>
        </w:tc>
      </w:tr>
      <w:tr w:rsidR="0017525B" w:rsidRPr="00BF61F5" w14:paraId="2AE1E0AE" w14:textId="77777777" w:rsidTr="00CA415A">
        <w:trPr>
          <w:cantSplit/>
          <w:trHeight w:val="236"/>
        </w:trPr>
        <w:tc>
          <w:tcPr>
            <w:tcW w:w="234" w:type="pct"/>
            <w:tcBorders>
              <w:top w:val="nil"/>
              <w:left w:val="single" w:sz="4" w:space="0" w:color="auto"/>
              <w:bottom w:val="single" w:sz="4" w:space="0" w:color="auto"/>
              <w:right w:val="single" w:sz="4" w:space="0" w:color="auto"/>
            </w:tcBorders>
            <w:vAlign w:val="center"/>
          </w:tcPr>
          <w:p w14:paraId="64EEF5C9"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1.</w:t>
            </w:r>
          </w:p>
        </w:tc>
        <w:tc>
          <w:tcPr>
            <w:tcW w:w="3266" w:type="pct"/>
            <w:tcBorders>
              <w:top w:val="nil"/>
              <w:left w:val="single" w:sz="4" w:space="0" w:color="auto"/>
              <w:bottom w:val="single" w:sz="4" w:space="0" w:color="auto"/>
              <w:right w:val="single" w:sz="4" w:space="0" w:color="auto"/>
            </w:tcBorders>
            <w:shd w:val="clear" w:color="auto" w:fill="auto"/>
            <w:vAlign w:val="center"/>
          </w:tcPr>
          <w:p w14:paraId="3E580DF1"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Injured person(s) must receive appropriate medical treatment.</w:t>
            </w:r>
          </w:p>
          <w:p w14:paraId="531B9BEF"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Any environmental harm must be minimized or prevented.</w:t>
            </w:r>
          </w:p>
          <w:p w14:paraId="653A014E"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Any further damage must be minimized or prevented.</w:t>
            </w:r>
          </w:p>
        </w:tc>
        <w:tc>
          <w:tcPr>
            <w:tcW w:w="749" w:type="pct"/>
            <w:tcBorders>
              <w:top w:val="nil"/>
              <w:left w:val="nil"/>
              <w:bottom w:val="single" w:sz="4" w:space="0" w:color="auto"/>
              <w:right w:val="single" w:sz="4" w:space="0" w:color="auto"/>
            </w:tcBorders>
            <w:vAlign w:val="center"/>
          </w:tcPr>
          <w:p w14:paraId="7D50F33C"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25904633"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r w:rsidR="0017525B" w:rsidRPr="00BF61F5" w14:paraId="61AC0A9F" w14:textId="77777777" w:rsidTr="00CA415A">
        <w:trPr>
          <w:cantSplit/>
          <w:trHeight w:val="236"/>
        </w:trPr>
        <w:tc>
          <w:tcPr>
            <w:tcW w:w="234" w:type="pct"/>
            <w:tcBorders>
              <w:top w:val="nil"/>
              <w:left w:val="single" w:sz="4" w:space="0" w:color="auto"/>
              <w:bottom w:val="single" w:sz="4" w:space="0" w:color="auto"/>
              <w:right w:val="single" w:sz="4" w:space="0" w:color="auto"/>
            </w:tcBorders>
            <w:vAlign w:val="center"/>
          </w:tcPr>
          <w:p w14:paraId="367537FF"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2.</w:t>
            </w:r>
          </w:p>
        </w:tc>
        <w:tc>
          <w:tcPr>
            <w:tcW w:w="3266" w:type="pct"/>
            <w:tcBorders>
              <w:top w:val="nil"/>
              <w:left w:val="single" w:sz="4" w:space="0" w:color="auto"/>
              <w:bottom w:val="single" w:sz="4" w:space="0" w:color="auto"/>
              <w:right w:val="single" w:sz="4" w:space="0" w:color="auto"/>
            </w:tcBorders>
            <w:shd w:val="clear" w:color="auto" w:fill="auto"/>
            <w:vAlign w:val="center"/>
          </w:tcPr>
          <w:p w14:paraId="49F201BC"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Report the incident immediately to the relevant Supervisor.</w:t>
            </w:r>
          </w:p>
        </w:tc>
        <w:tc>
          <w:tcPr>
            <w:tcW w:w="749" w:type="pct"/>
            <w:tcBorders>
              <w:top w:val="nil"/>
              <w:left w:val="nil"/>
              <w:bottom w:val="single" w:sz="4" w:space="0" w:color="auto"/>
              <w:right w:val="single" w:sz="4" w:space="0" w:color="auto"/>
            </w:tcBorders>
            <w:vAlign w:val="center"/>
          </w:tcPr>
          <w:p w14:paraId="643969CD"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099CDBE1"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r w:rsidR="0017525B" w:rsidRPr="00BF61F5" w14:paraId="73E91EBC" w14:textId="77777777" w:rsidTr="00CA415A">
        <w:trPr>
          <w:cantSplit/>
          <w:trHeight w:val="501"/>
        </w:trPr>
        <w:tc>
          <w:tcPr>
            <w:tcW w:w="234" w:type="pct"/>
            <w:tcBorders>
              <w:top w:val="nil"/>
              <w:left w:val="single" w:sz="4" w:space="0" w:color="auto"/>
              <w:bottom w:val="single" w:sz="4" w:space="0" w:color="auto"/>
              <w:right w:val="single" w:sz="4" w:space="0" w:color="auto"/>
            </w:tcBorders>
            <w:vAlign w:val="center"/>
          </w:tcPr>
          <w:p w14:paraId="20206555"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3.</w:t>
            </w:r>
          </w:p>
        </w:tc>
        <w:tc>
          <w:tcPr>
            <w:tcW w:w="3266" w:type="pct"/>
            <w:tcBorders>
              <w:top w:val="nil"/>
              <w:left w:val="single" w:sz="4" w:space="0" w:color="auto"/>
              <w:bottom w:val="single" w:sz="4" w:space="0" w:color="auto"/>
              <w:right w:val="single" w:sz="4" w:space="0" w:color="auto"/>
            </w:tcBorders>
            <w:shd w:val="clear" w:color="auto" w:fill="auto"/>
            <w:vAlign w:val="center"/>
          </w:tcPr>
          <w:p w14:paraId="15DC331E"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Supervisor to report the incident immediately to the relevant Superintendent, Manager and the Site Senior Executive (</w:t>
            </w:r>
            <w:r w:rsidRPr="00BF61F5">
              <w:rPr>
                <w:b/>
                <w:sz w:val="16"/>
                <w:szCs w:val="20"/>
                <w:lang w:val="en-GB"/>
              </w:rPr>
              <w:t>note</w:t>
            </w:r>
            <w:r w:rsidRPr="00BF61F5">
              <w:rPr>
                <w:sz w:val="16"/>
                <w:szCs w:val="20"/>
                <w:lang w:val="en-GB"/>
              </w:rPr>
              <w:t>: the client’s representative must be notified as applicable to site requirements).</w:t>
            </w:r>
          </w:p>
        </w:tc>
        <w:tc>
          <w:tcPr>
            <w:tcW w:w="749" w:type="pct"/>
            <w:tcBorders>
              <w:top w:val="nil"/>
              <w:left w:val="nil"/>
              <w:bottom w:val="single" w:sz="4" w:space="0" w:color="auto"/>
              <w:right w:val="single" w:sz="4" w:space="0" w:color="auto"/>
            </w:tcBorders>
            <w:vAlign w:val="center"/>
          </w:tcPr>
          <w:p w14:paraId="3BA1B315"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 xml:space="preserve">Major </w:t>
            </w:r>
          </w:p>
          <w:p w14:paraId="455FF469"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c>
          <w:tcPr>
            <w:tcW w:w="751" w:type="pct"/>
            <w:tcBorders>
              <w:top w:val="nil"/>
              <w:left w:val="nil"/>
              <w:bottom w:val="single" w:sz="4" w:space="0" w:color="auto"/>
              <w:right w:val="single" w:sz="4" w:space="0" w:color="auto"/>
            </w:tcBorders>
            <w:vAlign w:val="center"/>
          </w:tcPr>
          <w:p w14:paraId="0D303A70"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Moderate</w:t>
            </w:r>
          </w:p>
          <w:p w14:paraId="0E3E8972"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Major</w:t>
            </w:r>
          </w:p>
          <w:p w14:paraId="102B9B15"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r>
      <w:tr w:rsidR="0017525B" w:rsidRPr="00BF61F5" w14:paraId="5CEBA108" w14:textId="77777777" w:rsidTr="00CA415A">
        <w:trPr>
          <w:cantSplit/>
          <w:trHeight w:val="229"/>
        </w:trPr>
        <w:tc>
          <w:tcPr>
            <w:tcW w:w="234" w:type="pct"/>
            <w:tcBorders>
              <w:top w:val="nil"/>
              <w:left w:val="single" w:sz="4" w:space="0" w:color="auto"/>
              <w:bottom w:val="single" w:sz="4" w:space="0" w:color="auto"/>
              <w:right w:val="single" w:sz="4" w:space="0" w:color="auto"/>
            </w:tcBorders>
            <w:vAlign w:val="center"/>
          </w:tcPr>
          <w:p w14:paraId="514D15A5"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4.</w:t>
            </w:r>
          </w:p>
        </w:tc>
        <w:tc>
          <w:tcPr>
            <w:tcW w:w="3266" w:type="pct"/>
            <w:tcBorders>
              <w:top w:val="nil"/>
              <w:left w:val="single" w:sz="4" w:space="0" w:color="auto"/>
              <w:bottom w:val="single" w:sz="4" w:space="0" w:color="auto"/>
              <w:right w:val="single" w:sz="4" w:space="0" w:color="auto"/>
            </w:tcBorders>
            <w:shd w:val="clear" w:color="auto" w:fill="auto"/>
            <w:vAlign w:val="center"/>
          </w:tcPr>
          <w:p w14:paraId="154444D1"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Immediate action required to eliminate / reduce inherent risk.</w:t>
            </w:r>
          </w:p>
        </w:tc>
        <w:tc>
          <w:tcPr>
            <w:tcW w:w="749" w:type="pct"/>
            <w:tcBorders>
              <w:top w:val="nil"/>
              <w:left w:val="nil"/>
              <w:bottom w:val="single" w:sz="4" w:space="0" w:color="auto"/>
              <w:right w:val="single" w:sz="4" w:space="0" w:color="auto"/>
            </w:tcBorders>
            <w:vAlign w:val="center"/>
          </w:tcPr>
          <w:p w14:paraId="7710D2A6"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 xml:space="preserve">Major </w:t>
            </w:r>
          </w:p>
          <w:p w14:paraId="5B6E2A81"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c>
          <w:tcPr>
            <w:tcW w:w="751" w:type="pct"/>
            <w:tcBorders>
              <w:top w:val="nil"/>
              <w:left w:val="nil"/>
              <w:bottom w:val="single" w:sz="4" w:space="0" w:color="auto"/>
              <w:right w:val="single" w:sz="4" w:space="0" w:color="auto"/>
            </w:tcBorders>
            <w:vAlign w:val="center"/>
          </w:tcPr>
          <w:p w14:paraId="2C618EFA"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Moderate</w:t>
            </w:r>
          </w:p>
          <w:p w14:paraId="35B6C6D1"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Major</w:t>
            </w:r>
          </w:p>
          <w:p w14:paraId="3FF60A08"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r>
      <w:tr w:rsidR="0017525B" w:rsidRPr="00BF61F5" w14:paraId="3E37ECA2" w14:textId="77777777" w:rsidTr="00CA415A">
        <w:trPr>
          <w:cantSplit/>
          <w:trHeight w:val="85"/>
        </w:trPr>
        <w:tc>
          <w:tcPr>
            <w:tcW w:w="234" w:type="pct"/>
            <w:tcBorders>
              <w:top w:val="nil"/>
              <w:left w:val="single" w:sz="4" w:space="0" w:color="auto"/>
              <w:bottom w:val="single" w:sz="4" w:space="0" w:color="auto"/>
              <w:right w:val="single" w:sz="4" w:space="0" w:color="auto"/>
            </w:tcBorders>
            <w:vAlign w:val="center"/>
          </w:tcPr>
          <w:p w14:paraId="568D9EB9"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5.</w:t>
            </w:r>
          </w:p>
        </w:tc>
        <w:tc>
          <w:tcPr>
            <w:tcW w:w="3266" w:type="pct"/>
            <w:tcBorders>
              <w:top w:val="nil"/>
              <w:left w:val="single" w:sz="4" w:space="0" w:color="auto"/>
              <w:bottom w:val="single" w:sz="4" w:space="0" w:color="auto"/>
              <w:right w:val="single" w:sz="4" w:space="0" w:color="auto"/>
            </w:tcBorders>
            <w:shd w:val="clear" w:color="auto" w:fill="auto"/>
            <w:vAlign w:val="center"/>
          </w:tcPr>
          <w:p w14:paraId="120F11DA"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Refer to the Emergency Response Plan if the incident involves a fatality or catastrophic event e.g. multiple serious injuries; entrapment of workers; an incident which captures the public attention.</w:t>
            </w:r>
          </w:p>
        </w:tc>
        <w:tc>
          <w:tcPr>
            <w:tcW w:w="749" w:type="pct"/>
            <w:tcBorders>
              <w:top w:val="nil"/>
              <w:left w:val="nil"/>
              <w:bottom w:val="single" w:sz="4" w:space="0" w:color="auto"/>
              <w:right w:val="single" w:sz="4" w:space="0" w:color="auto"/>
            </w:tcBorders>
            <w:vAlign w:val="center"/>
          </w:tcPr>
          <w:p w14:paraId="672C8839"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w:t>
            </w:r>
          </w:p>
        </w:tc>
        <w:tc>
          <w:tcPr>
            <w:tcW w:w="751" w:type="pct"/>
            <w:tcBorders>
              <w:top w:val="nil"/>
              <w:left w:val="nil"/>
              <w:bottom w:val="single" w:sz="4" w:space="0" w:color="auto"/>
              <w:right w:val="single" w:sz="4" w:space="0" w:color="auto"/>
            </w:tcBorders>
            <w:vAlign w:val="center"/>
          </w:tcPr>
          <w:p w14:paraId="3272DD1B"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p w14:paraId="7B992BF2"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Major</w:t>
            </w:r>
          </w:p>
        </w:tc>
      </w:tr>
      <w:tr w:rsidR="0017525B" w:rsidRPr="00BF61F5" w14:paraId="49E73E78" w14:textId="77777777" w:rsidTr="00CA415A">
        <w:trPr>
          <w:cantSplit/>
          <w:trHeight w:val="85"/>
        </w:trPr>
        <w:tc>
          <w:tcPr>
            <w:tcW w:w="234" w:type="pct"/>
            <w:tcBorders>
              <w:top w:val="nil"/>
              <w:left w:val="single" w:sz="4" w:space="0" w:color="auto"/>
              <w:bottom w:val="single" w:sz="4" w:space="0" w:color="auto"/>
              <w:right w:val="single" w:sz="4" w:space="0" w:color="auto"/>
            </w:tcBorders>
            <w:vAlign w:val="center"/>
          </w:tcPr>
          <w:p w14:paraId="027DD74D"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6.</w:t>
            </w:r>
          </w:p>
        </w:tc>
        <w:tc>
          <w:tcPr>
            <w:tcW w:w="3266" w:type="pct"/>
            <w:tcBorders>
              <w:top w:val="nil"/>
              <w:left w:val="single" w:sz="4" w:space="0" w:color="auto"/>
              <w:bottom w:val="single" w:sz="4" w:space="0" w:color="auto"/>
              <w:right w:val="single" w:sz="4" w:space="0" w:color="auto"/>
            </w:tcBorders>
            <w:shd w:val="clear" w:color="auto" w:fill="auto"/>
            <w:vAlign w:val="center"/>
          </w:tcPr>
          <w:p w14:paraId="30B94D49"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Ensure the incident scene is not disturbed except to save life, prevent further injury and / or damage until released by the Site Senior Executive.</w:t>
            </w:r>
          </w:p>
        </w:tc>
        <w:tc>
          <w:tcPr>
            <w:tcW w:w="749" w:type="pct"/>
            <w:tcBorders>
              <w:top w:val="nil"/>
              <w:left w:val="nil"/>
              <w:bottom w:val="single" w:sz="4" w:space="0" w:color="auto"/>
              <w:right w:val="single" w:sz="4" w:space="0" w:color="auto"/>
            </w:tcBorders>
            <w:vAlign w:val="center"/>
          </w:tcPr>
          <w:p w14:paraId="4FD6B8B8" w14:textId="77777777" w:rsidR="0017525B" w:rsidRPr="00BF61F5" w:rsidRDefault="0017525B" w:rsidP="00CA415A">
            <w:pPr>
              <w:spacing w:before="40" w:after="40"/>
              <w:jc w:val="center"/>
              <w:rPr>
                <w:sz w:val="16"/>
                <w:szCs w:val="20"/>
                <w:lang w:val="en-GB"/>
              </w:rPr>
            </w:pPr>
            <w:r w:rsidRPr="00BF61F5">
              <w:rPr>
                <w:sz w:val="16"/>
                <w:szCs w:val="20"/>
                <w:lang w:val="en-GB"/>
              </w:rPr>
              <w:t>Major</w:t>
            </w:r>
          </w:p>
          <w:p w14:paraId="7B795B75" w14:textId="77777777" w:rsidR="0017525B" w:rsidRPr="00BF61F5" w:rsidRDefault="0017525B" w:rsidP="00CA415A">
            <w:pPr>
              <w:spacing w:before="40" w:after="40"/>
              <w:jc w:val="center"/>
              <w:rPr>
                <w:sz w:val="16"/>
                <w:szCs w:val="20"/>
                <w:lang w:val="en-GB"/>
              </w:rPr>
            </w:pPr>
            <w:r w:rsidRPr="00BF61F5">
              <w:rPr>
                <w:sz w:val="16"/>
                <w:szCs w:val="20"/>
                <w:lang w:val="en-GB"/>
              </w:rPr>
              <w:t>Critical</w:t>
            </w:r>
          </w:p>
        </w:tc>
        <w:tc>
          <w:tcPr>
            <w:tcW w:w="751" w:type="pct"/>
            <w:tcBorders>
              <w:top w:val="nil"/>
              <w:left w:val="nil"/>
              <w:bottom w:val="single" w:sz="4" w:space="0" w:color="auto"/>
              <w:right w:val="single" w:sz="4" w:space="0" w:color="auto"/>
            </w:tcBorders>
            <w:vAlign w:val="center"/>
          </w:tcPr>
          <w:p w14:paraId="79B697EE" w14:textId="77777777" w:rsidR="0017525B" w:rsidRPr="00BF61F5" w:rsidRDefault="0017525B" w:rsidP="00CA415A">
            <w:pPr>
              <w:spacing w:before="40" w:after="40"/>
              <w:jc w:val="center"/>
              <w:rPr>
                <w:sz w:val="16"/>
                <w:szCs w:val="20"/>
                <w:lang w:val="en-GB"/>
              </w:rPr>
            </w:pPr>
            <w:r w:rsidRPr="00BF61F5">
              <w:rPr>
                <w:sz w:val="16"/>
                <w:szCs w:val="20"/>
                <w:lang w:val="en-GB"/>
              </w:rPr>
              <w:t>Moderate</w:t>
            </w:r>
          </w:p>
          <w:p w14:paraId="6CEF6C2F" w14:textId="77777777" w:rsidR="0017525B" w:rsidRPr="00BF61F5" w:rsidRDefault="0017525B" w:rsidP="00CA415A">
            <w:pPr>
              <w:spacing w:before="40" w:after="40"/>
              <w:jc w:val="center"/>
              <w:rPr>
                <w:sz w:val="16"/>
                <w:szCs w:val="20"/>
                <w:lang w:val="en-GB"/>
              </w:rPr>
            </w:pPr>
            <w:r w:rsidRPr="00BF61F5">
              <w:rPr>
                <w:sz w:val="16"/>
                <w:szCs w:val="20"/>
                <w:lang w:val="en-GB"/>
              </w:rPr>
              <w:t>Major</w:t>
            </w:r>
          </w:p>
          <w:p w14:paraId="3816487A" w14:textId="77777777" w:rsidR="0017525B" w:rsidRPr="00BF61F5" w:rsidRDefault="0017525B" w:rsidP="00CA415A">
            <w:pPr>
              <w:spacing w:before="40" w:after="40"/>
              <w:jc w:val="center"/>
              <w:rPr>
                <w:sz w:val="16"/>
                <w:szCs w:val="20"/>
                <w:lang w:val="en-GB"/>
              </w:rPr>
            </w:pPr>
            <w:r w:rsidRPr="00BF61F5">
              <w:rPr>
                <w:sz w:val="16"/>
                <w:szCs w:val="20"/>
                <w:lang w:val="en-GB"/>
              </w:rPr>
              <w:t>Critical</w:t>
            </w:r>
          </w:p>
        </w:tc>
      </w:tr>
      <w:tr w:rsidR="0017525B" w:rsidRPr="00BF61F5" w14:paraId="02529529" w14:textId="77777777" w:rsidTr="00CA415A">
        <w:trPr>
          <w:cantSplit/>
          <w:trHeight w:val="122"/>
        </w:trPr>
        <w:tc>
          <w:tcPr>
            <w:tcW w:w="234" w:type="pct"/>
            <w:tcBorders>
              <w:top w:val="nil"/>
              <w:left w:val="single" w:sz="4" w:space="0" w:color="auto"/>
              <w:bottom w:val="single" w:sz="4" w:space="0" w:color="auto"/>
              <w:right w:val="single" w:sz="4" w:space="0" w:color="auto"/>
            </w:tcBorders>
            <w:vAlign w:val="center"/>
          </w:tcPr>
          <w:p w14:paraId="47546CBE"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lastRenderedPageBreak/>
              <w:t>7.</w:t>
            </w:r>
          </w:p>
        </w:tc>
        <w:tc>
          <w:tcPr>
            <w:tcW w:w="3266" w:type="pct"/>
            <w:tcBorders>
              <w:top w:val="nil"/>
              <w:left w:val="single" w:sz="4" w:space="0" w:color="auto"/>
              <w:bottom w:val="single" w:sz="4" w:space="0" w:color="auto"/>
              <w:right w:val="single" w:sz="4" w:space="0" w:color="auto"/>
            </w:tcBorders>
            <w:shd w:val="clear" w:color="auto" w:fill="auto"/>
            <w:vAlign w:val="center"/>
          </w:tcPr>
          <w:p w14:paraId="0CDC8520"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Report the incident to the relevant Manager and SSE.</w:t>
            </w:r>
            <w:r w:rsidRPr="00BF61F5">
              <w:rPr>
                <w:sz w:val="16"/>
                <w:szCs w:val="20"/>
                <w:lang w:val="en-GB" w:eastAsia="en-US"/>
              </w:rPr>
              <w:t xml:space="preserve"> </w:t>
            </w:r>
            <w:r w:rsidRPr="00BF61F5">
              <w:rPr>
                <w:sz w:val="16"/>
                <w:szCs w:val="20"/>
                <w:lang w:val="en-GB"/>
              </w:rPr>
              <w:t>Legal must be contacted as soon as the response phase of the incident has ceased or by the end of the shift.</w:t>
            </w:r>
          </w:p>
        </w:tc>
        <w:tc>
          <w:tcPr>
            <w:tcW w:w="749" w:type="pct"/>
            <w:tcBorders>
              <w:top w:val="nil"/>
              <w:left w:val="nil"/>
              <w:bottom w:val="single" w:sz="4" w:space="0" w:color="auto"/>
              <w:right w:val="single" w:sz="4" w:space="0" w:color="auto"/>
            </w:tcBorders>
            <w:vAlign w:val="center"/>
          </w:tcPr>
          <w:p w14:paraId="02EBD6C6"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c>
          <w:tcPr>
            <w:tcW w:w="751" w:type="pct"/>
            <w:tcBorders>
              <w:top w:val="nil"/>
              <w:left w:val="nil"/>
              <w:bottom w:val="single" w:sz="4" w:space="0" w:color="auto"/>
              <w:right w:val="single" w:sz="4" w:space="0" w:color="auto"/>
            </w:tcBorders>
            <w:vAlign w:val="center"/>
          </w:tcPr>
          <w:p w14:paraId="2C9B1B9C"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Major</w:t>
            </w:r>
          </w:p>
          <w:p w14:paraId="557EF38F"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Critical</w:t>
            </w:r>
          </w:p>
        </w:tc>
      </w:tr>
      <w:tr w:rsidR="0017525B" w:rsidRPr="00BF61F5" w14:paraId="4457B17E" w14:textId="77777777" w:rsidTr="00CA415A">
        <w:trPr>
          <w:cantSplit/>
          <w:trHeight w:val="163"/>
        </w:trPr>
        <w:tc>
          <w:tcPr>
            <w:tcW w:w="234" w:type="pct"/>
            <w:tcBorders>
              <w:top w:val="nil"/>
              <w:left w:val="single" w:sz="4" w:space="0" w:color="auto"/>
              <w:bottom w:val="single" w:sz="4" w:space="0" w:color="auto"/>
              <w:right w:val="single" w:sz="4" w:space="0" w:color="auto"/>
            </w:tcBorders>
            <w:vAlign w:val="center"/>
          </w:tcPr>
          <w:p w14:paraId="35310210"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8.</w:t>
            </w:r>
          </w:p>
        </w:tc>
        <w:tc>
          <w:tcPr>
            <w:tcW w:w="3266" w:type="pct"/>
            <w:tcBorders>
              <w:top w:val="nil"/>
              <w:left w:val="single" w:sz="4" w:space="0" w:color="auto"/>
              <w:bottom w:val="single" w:sz="4" w:space="0" w:color="auto"/>
              <w:right w:val="single" w:sz="4" w:space="0" w:color="auto"/>
            </w:tcBorders>
            <w:shd w:val="clear" w:color="auto" w:fill="auto"/>
            <w:vAlign w:val="center"/>
          </w:tcPr>
          <w:p w14:paraId="3428F42F"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 xml:space="preserve">The Supervisor should ensure that incident statements are completed using an </w:t>
            </w:r>
            <w:r w:rsidRPr="00BF61F5">
              <w:rPr>
                <w:sz w:val="16"/>
                <w:szCs w:val="20"/>
                <w:lang w:val="en-GB" w:eastAsia="en-US"/>
              </w:rPr>
              <w:t>FRM-114 Incident Statement Form</w:t>
            </w:r>
            <w:r w:rsidRPr="00BF61F5">
              <w:rPr>
                <w:sz w:val="16"/>
                <w:szCs w:val="20"/>
                <w:lang w:val="en-GB"/>
              </w:rPr>
              <w:t xml:space="preserve"> for each person involved in the incident or who was witness to the incident. The Supervisor themselves should complete a statement detailing the instruction provided to personnel, the frequency of inspection prior to the incident.</w:t>
            </w:r>
          </w:p>
        </w:tc>
        <w:tc>
          <w:tcPr>
            <w:tcW w:w="749" w:type="pct"/>
            <w:tcBorders>
              <w:top w:val="nil"/>
              <w:left w:val="nil"/>
              <w:bottom w:val="single" w:sz="4" w:space="0" w:color="auto"/>
              <w:right w:val="single" w:sz="4" w:space="0" w:color="auto"/>
            </w:tcBorders>
            <w:vAlign w:val="center"/>
          </w:tcPr>
          <w:p w14:paraId="222C8DC9"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22482247"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r w:rsidR="0017525B" w:rsidRPr="00BF61F5" w14:paraId="63D2869A" w14:textId="77777777" w:rsidTr="00CA415A">
        <w:trPr>
          <w:cantSplit/>
          <w:trHeight w:val="442"/>
        </w:trPr>
        <w:tc>
          <w:tcPr>
            <w:tcW w:w="234" w:type="pct"/>
            <w:tcBorders>
              <w:top w:val="nil"/>
              <w:left w:val="single" w:sz="4" w:space="0" w:color="auto"/>
              <w:bottom w:val="single" w:sz="4" w:space="0" w:color="auto"/>
              <w:right w:val="single" w:sz="4" w:space="0" w:color="auto"/>
            </w:tcBorders>
            <w:vAlign w:val="center"/>
          </w:tcPr>
          <w:p w14:paraId="73411559"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9.</w:t>
            </w:r>
          </w:p>
        </w:tc>
        <w:tc>
          <w:tcPr>
            <w:tcW w:w="3266" w:type="pct"/>
            <w:tcBorders>
              <w:top w:val="nil"/>
              <w:left w:val="single" w:sz="4" w:space="0" w:color="auto"/>
              <w:bottom w:val="single" w:sz="4" w:space="0" w:color="auto"/>
              <w:right w:val="single" w:sz="4" w:space="0" w:color="auto"/>
            </w:tcBorders>
            <w:shd w:val="clear" w:color="auto" w:fill="auto"/>
            <w:vAlign w:val="center"/>
            <w:hideMark/>
          </w:tcPr>
          <w:p w14:paraId="22DCEAB9"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 xml:space="preserve">Drug and Alcohol Testing must be conducted in accordance with </w:t>
            </w:r>
            <w:r w:rsidRPr="00BF61F5">
              <w:rPr>
                <w:sz w:val="16"/>
                <w:szCs w:val="20"/>
                <w:lang w:val="en-GB" w:eastAsia="en-US"/>
              </w:rPr>
              <w:t>MOP-011 Fitness for Work Procedure</w:t>
            </w:r>
            <w:r w:rsidRPr="00BF61F5">
              <w:rPr>
                <w:sz w:val="16"/>
                <w:szCs w:val="20"/>
                <w:lang w:val="en-GB"/>
              </w:rPr>
              <w:t>.</w:t>
            </w:r>
          </w:p>
        </w:tc>
        <w:tc>
          <w:tcPr>
            <w:tcW w:w="749" w:type="pct"/>
            <w:tcBorders>
              <w:top w:val="nil"/>
              <w:left w:val="nil"/>
              <w:bottom w:val="single" w:sz="4" w:space="0" w:color="auto"/>
              <w:right w:val="single" w:sz="4" w:space="0" w:color="auto"/>
            </w:tcBorders>
            <w:vAlign w:val="center"/>
          </w:tcPr>
          <w:p w14:paraId="10258A8F"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For Cause Testing</w:t>
            </w:r>
          </w:p>
        </w:tc>
        <w:tc>
          <w:tcPr>
            <w:tcW w:w="751" w:type="pct"/>
            <w:tcBorders>
              <w:top w:val="nil"/>
              <w:left w:val="nil"/>
              <w:bottom w:val="single" w:sz="4" w:space="0" w:color="auto"/>
              <w:right w:val="single" w:sz="4" w:space="0" w:color="auto"/>
            </w:tcBorders>
            <w:vAlign w:val="center"/>
          </w:tcPr>
          <w:p w14:paraId="0B415124"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For Cause Testing</w:t>
            </w:r>
          </w:p>
        </w:tc>
      </w:tr>
      <w:tr w:rsidR="0017525B" w:rsidRPr="00BF61F5" w14:paraId="2B718A28" w14:textId="77777777" w:rsidTr="00CA415A">
        <w:trPr>
          <w:cantSplit/>
          <w:trHeight w:val="339"/>
        </w:trPr>
        <w:tc>
          <w:tcPr>
            <w:tcW w:w="234" w:type="pct"/>
            <w:tcBorders>
              <w:top w:val="nil"/>
              <w:left w:val="single" w:sz="4" w:space="0" w:color="auto"/>
              <w:bottom w:val="single" w:sz="4" w:space="0" w:color="auto"/>
              <w:right w:val="single" w:sz="4" w:space="0" w:color="auto"/>
            </w:tcBorders>
            <w:vAlign w:val="center"/>
          </w:tcPr>
          <w:p w14:paraId="1E82A873"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10.</w:t>
            </w:r>
          </w:p>
        </w:tc>
        <w:tc>
          <w:tcPr>
            <w:tcW w:w="3266" w:type="pct"/>
            <w:tcBorders>
              <w:top w:val="nil"/>
              <w:left w:val="single" w:sz="4" w:space="0" w:color="auto"/>
              <w:bottom w:val="single" w:sz="4" w:space="0" w:color="auto"/>
              <w:right w:val="single" w:sz="4" w:space="0" w:color="auto"/>
            </w:tcBorders>
            <w:shd w:val="clear" w:color="auto" w:fill="auto"/>
            <w:vAlign w:val="center"/>
          </w:tcPr>
          <w:p w14:paraId="158509D7"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 xml:space="preserve">Enter the incident into </w:t>
            </w:r>
            <w:r>
              <w:rPr>
                <w:sz w:val="16"/>
                <w:szCs w:val="20"/>
                <w:lang w:val="en-GB"/>
              </w:rPr>
              <w:t>the system</w:t>
            </w:r>
            <w:r w:rsidRPr="00BF61F5">
              <w:rPr>
                <w:sz w:val="16"/>
                <w:szCs w:val="20"/>
                <w:lang w:val="en-GB"/>
              </w:rPr>
              <w:t xml:space="preserve"> within 24</w:t>
            </w:r>
            <w:r>
              <w:rPr>
                <w:sz w:val="16"/>
                <w:szCs w:val="20"/>
                <w:lang w:val="en-GB"/>
              </w:rPr>
              <w:t>hours</w:t>
            </w:r>
            <w:r w:rsidRPr="00BF61F5">
              <w:rPr>
                <w:sz w:val="16"/>
                <w:szCs w:val="20"/>
                <w:lang w:val="en-GB"/>
              </w:rPr>
              <w:t xml:space="preserve"> (incidents which trigger the Emergency Management Plan may be entered at a later stage).</w:t>
            </w:r>
          </w:p>
        </w:tc>
        <w:tc>
          <w:tcPr>
            <w:tcW w:w="749" w:type="pct"/>
            <w:tcBorders>
              <w:top w:val="nil"/>
              <w:left w:val="nil"/>
              <w:bottom w:val="single" w:sz="4" w:space="0" w:color="auto"/>
              <w:right w:val="single" w:sz="4" w:space="0" w:color="auto"/>
            </w:tcBorders>
            <w:vAlign w:val="center"/>
          </w:tcPr>
          <w:p w14:paraId="2BD72A37"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787B40CA"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r w:rsidR="0017525B" w:rsidRPr="00BF61F5" w14:paraId="15E0BA2B" w14:textId="77777777" w:rsidTr="00CA415A">
        <w:trPr>
          <w:cantSplit/>
          <w:trHeight w:val="339"/>
        </w:trPr>
        <w:tc>
          <w:tcPr>
            <w:tcW w:w="234" w:type="pct"/>
            <w:tcBorders>
              <w:top w:val="nil"/>
              <w:left w:val="single" w:sz="4" w:space="0" w:color="auto"/>
              <w:bottom w:val="single" w:sz="4" w:space="0" w:color="auto"/>
              <w:right w:val="single" w:sz="4" w:space="0" w:color="auto"/>
            </w:tcBorders>
            <w:vAlign w:val="center"/>
          </w:tcPr>
          <w:p w14:paraId="3DCDF547"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11.</w:t>
            </w:r>
          </w:p>
        </w:tc>
        <w:tc>
          <w:tcPr>
            <w:tcW w:w="3266" w:type="pct"/>
            <w:tcBorders>
              <w:top w:val="nil"/>
              <w:left w:val="single" w:sz="4" w:space="0" w:color="auto"/>
              <w:bottom w:val="single" w:sz="4" w:space="0" w:color="auto"/>
              <w:right w:val="single" w:sz="4" w:space="0" w:color="auto"/>
            </w:tcBorders>
            <w:shd w:val="clear" w:color="auto" w:fill="auto"/>
            <w:vAlign w:val="center"/>
          </w:tcPr>
          <w:p w14:paraId="214768FB"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eastAsia="en-US"/>
              </w:rPr>
              <w:t>The Injury and Illness Classification Form FRM-166 must be used to record the basis on which classification decisions made for all injuries other than those for which no treatment was provided.</w:t>
            </w:r>
          </w:p>
        </w:tc>
        <w:tc>
          <w:tcPr>
            <w:tcW w:w="749" w:type="pct"/>
            <w:tcBorders>
              <w:top w:val="nil"/>
              <w:left w:val="nil"/>
              <w:bottom w:val="single" w:sz="4" w:space="0" w:color="auto"/>
              <w:right w:val="single" w:sz="4" w:space="0" w:color="auto"/>
            </w:tcBorders>
            <w:vAlign w:val="center"/>
          </w:tcPr>
          <w:p w14:paraId="4B9323E6"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 Injuries</w:t>
            </w:r>
          </w:p>
        </w:tc>
        <w:tc>
          <w:tcPr>
            <w:tcW w:w="751" w:type="pct"/>
            <w:tcBorders>
              <w:top w:val="nil"/>
              <w:left w:val="nil"/>
              <w:bottom w:val="single" w:sz="4" w:space="0" w:color="auto"/>
              <w:right w:val="single" w:sz="4" w:space="0" w:color="auto"/>
            </w:tcBorders>
            <w:vAlign w:val="center"/>
          </w:tcPr>
          <w:p w14:paraId="66D509AA"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 Injuries</w:t>
            </w:r>
          </w:p>
        </w:tc>
      </w:tr>
      <w:tr w:rsidR="0017525B" w:rsidRPr="00BF61F5" w14:paraId="524CACCF" w14:textId="77777777" w:rsidTr="00CA415A">
        <w:trPr>
          <w:cantSplit/>
          <w:trHeight w:val="670"/>
        </w:trPr>
        <w:tc>
          <w:tcPr>
            <w:tcW w:w="234" w:type="pct"/>
            <w:tcBorders>
              <w:top w:val="nil"/>
              <w:left w:val="single" w:sz="4" w:space="0" w:color="auto"/>
              <w:bottom w:val="single" w:sz="4" w:space="0" w:color="auto"/>
              <w:right w:val="single" w:sz="4" w:space="0" w:color="auto"/>
            </w:tcBorders>
            <w:vAlign w:val="center"/>
          </w:tcPr>
          <w:p w14:paraId="6952BD50"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12.</w:t>
            </w:r>
          </w:p>
        </w:tc>
        <w:tc>
          <w:tcPr>
            <w:tcW w:w="3266" w:type="pct"/>
            <w:tcBorders>
              <w:top w:val="nil"/>
              <w:left w:val="single" w:sz="4" w:space="0" w:color="auto"/>
              <w:bottom w:val="single" w:sz="4" w:space="0" w:color="auto"/>
              <w:right w:val="single" w:sz="4" w:space="0" w:color="auto"/>
            </w:tcBorders>
            <w:shd w:val="clear" w:color="auto" w:fill="auto"/>
            <w:vAlign w:val="center"/>
            <w:hideMark/>
          </w:tcPr>
          <w:p w14:paraId="2635A106"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 xml:space="preserve">Event Report Managers (ERMs) manage the incident; collecting the required information; investigation of the incident and entering the information into the relevant tabs of </w:t>
            </w:r>
            <w:r>
              <w:rPr>
                <w:sz w:val="16"/>
                <w:szCs w:val="20"/>
                <w:lang w:val="en-GB"/>
              </w:rPr>
              <w:t>the incident reporting system</w:t>
            </w:r>
            <w:r w:rsidRPr="00BF61F5">
              <w:rPr>
                <w:sz w:val="16"/>
                <w:szCs w:val="20"/>
                <w:lang w:val="en-GB"/>
              </w:rPr>
              <w:t xml:space="preserve">. </w:t>
            </w:r>
          </w:p>
        </w:tc>
        <w:tc>
          <w:tcPr>
            <w:tcW w:w="749" w:type="pct"/>
            <w:tcBorders>
              <w:top w:val="nil"/>
              <w:left w:val="nil"/>
              <w:bottom w:val="single" w:sz="4" w:space="0" w:color="auto"/>
              <w:right w:val="single" w:sz="4" w:space="0" w:color="auto"/>
            </w:tcBorders>
            <w:vAlign w:val="center"/>
          </w:tcPr>
          <w:p w14:paraId="726F196D"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2B2F57EB"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r w:rsidR="0017525B" w:rsidRPr="00BF61F5" w14:paraId="62B52252" w14:textId="77777777" w:rsidTr="00CA415A">
        <w:trPr>
          <w:cantSplit/>
          <w:trHeight w:val="85"/>
        </w:trPr>
        <w:tc>
          <w:tcPr>
            <w:tcW w:w="234" w:type="pct"/>
            <w:tcBorders>
              <w:top w:val="nil"/>
              <w:left w:val="single" w:sz="4" w:space="0" w:color="auto"/>
              <w:bottom w:val="single" w:sz="4" w:space="0" w:color="auto"/>
              <w:right w:val="single" w:sz="4" w:space="0" w:color="auto"/>
            </w:tcBorders>
            <w:vAlign w:val="center"/>
          </w:tcPr>
          <w:p w14:paraId="628E6441"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13.</w:t>
            </w:r>
          </w:p>
        </w:tc>
        <w:tc>
          <w:tcPr>
            <w:tcW w:w="3266" w:type="pct"/>
            <w:tcBorders>
              <w:top w:val="nil"/>
              <w:left w:val="single" w:sz="4" w:space="0" w:color="auto"/>
              <w:bottom w:val="single" w:sz="4" w:space="0" w:color="auto"/>
              <w:right w:val="single" w:sz="4" w:space="0" w:color="auto"/>
            </w:tcBorders>
            <w:shd w:val="clear" w:color="auto" w:fill="auto"/>
            <w:vAlign w:val="center"/>
          </w:tcPr>
          <w:p w14:paraId="0BA8F067"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Checking/Audit of Incident: The Event will go to a Moderator for checking (audit) including the risk of the incident. Events are to be moderated as soon as reasonably practicable.</w:t>
            </w:r>
          </w:p>
        </w:tc>
        <w:tc>
          <w:tcPr>
            <w:tcW w:w="749" w:type="pct"/>
            <w:tcBorders>
              <w:top w:val="nil"/>
              <w:left w:val="nil"/>
              <w:bottom w:val="single" w:sz="4" w:space="0" w:color="auto"/>
              <w:right w:val="single" w:sz="4" w:space="0" w:color="auto"/>
            </w:tcBorders>
            <w:vAlign w:val="center"/>
          </w:tcPr>
          <w:p w14:paraId="6B1B4A46"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c>
          <w:tcPr>
            <w:tcW w:w="751" w:type="pct"/>
            <w:tcBorders>
              <w:top w:val="nil"/>
              <w:left w:val="nil"/>
              <w:bottom w:val="single" w:sz="4" w:space="0" w:color="auto"/>
              <w:right w:val="single" w:sz="4" w:space="0" w:color="auto"/>
            </w:tcBorders>
            <w:vAlign w:val="center"/>
          </w:tcPr>
          <w:p w14:paraId="10FD5BBD"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All</w:t>
            </w:r>
          </w:p>
        </w:tc>
      </w:tr>
    </w:tbl>
    <w:p w14:paraId="59F29AA0" w14:textId="77777777" w:rsidR="0017525B" w:rsidRDefault="0017525B" w:rsidP="0017525B">
      <w:pPr>
        <w:pStyle w:val="Body"/>
      </w:pPr>
    </w:p>
    <w:p w14:paraId="4B22C91C" w14:textId="77777777" w:rsidR="0017525B" w:rsidRPr="00BF61F5" w:rsidRDefault="0017525B" w:rsidP="0017525B">
      <w:pPr>
        <w:pStyle w:val="Body"/>
      </w:pPr>
      <w:r w:rsidRPr="00BF61F5">
        <w:t>The effectiveness of an incident investigation depends on immediate preservation of the incident scene, and the evidence related to the incident. To minimise the loss of evidence, advanced planning and coordination with emergency response personnel should be considered.</w:t>
      </w:r>
    </w:p>
    <w:p w14:paraId="108A20F9" w14:textId="77777777" w:rsidR="0017525B" w:rsidRDefault="0017525B" w:rsidP="0017525B">
      <w:pPr>
        <w:pStyle w:val="Body"/>
      </w:pPr>
      <w:r w:rsidRPr="00BF61F5">
        <w:t>Immediately after an incident occurs, a preliminary investigation is undertaken.</w:t>
      </w:r>
    </w:p>
    <w:p w14:paraId="1E1FB638" w14:textId="77777777" w:rsidR="0017525B" w:rsidRPr="00BF61F5" w:rsidRDefault="0017525B" w:rsidP="0017525B">
      <w:pPr>
        <w:pStyle w:val="Body"/>
      </w:pPr>
    </w:p>
    <w:p w14:paraId="419E39F1" w14:textId="77777777" w:rsidR="0017525B" w:rsidRDefault="0017525B" w:rsidP="0017525B">
      <w:pPr>
        <w:pStyle w:val="Body"/>
      </w:pPr>
      <w:r w:rsidRPr="00BF61F5">
        <w:t xml:space="preserve">The consequence of the incident dictates the type of investigation required (if the potential consequence is higher than the actual consequence the investigation shall be triggered at that level).  </w:t>
      </w:r>
    </w:p>
    <w:p w14:paraId="6E21A3D8" w14:textId="77777777" w:rsidR="0017525B" w:rsidRPr="006D36DA" w:rsidRDefault="0017525B" w:rsidP="0017525B">
      <w:pPr>
        <w:keepNext/>
        <w:numPr>
          <w:ilvl w:val="2"/>
          <w:numId w:val="4"/>
        </w:numPr>
        <w:tabs>
          <w:tab w:val="left" w:pos="1134"/>
        </w:tabs>
        <w:spacing w:before="240" w:after="60"/>
        <w:jc w:val="left"/>
        <w:outlineLvl w:val="2"/>
        <w:rPr>
          <w:rFonts w:cs="Arial"/>
          <w:b/>
          <w:bCs/>
          <w:szCs w:val="22"/>
          <w:lang w:eastAsia="x-none"/>
        </w:rPr>
      </w:pPr>
      <w:r w:rsidRPr="006D36DA">
        <w:rPr>
          <w:rFonts w:cs="Arial"/>
          <w:b/>
          <w:bCs/>
          <w:szCs w:val="22"/>
          <w:lang w:eastAsia="x-none"/>
        </w:rPr>
        <w:t xml:space="preserve">Step </w:t>
      </w:r>
      <w:r>
        <w:rPr>
          <w:rFonts w:cs="Arial"/>
          <w:b/>
          <w:bCs/>
          <w:szCs w:val="22"/>
          <w:lang w:eastAsia="x-none"/>
        </w:rPr>
        <w:t>2:</w:t>
      </w:r>
      <w:r w:rsidRPr="006D36DA">
        <w:rPr>
          <w:rFonts w:cs="Arial"/>
          <w:b/>
          <w:bCs/>
          <w:szCs w:val="22"/>
          <w:lang w:eastAsia="x-none"/>
        </w:rPr>
        <w:t xml:space="preserve"> Classif</w:t>
      </w:r>
      <w:bookmarkEnd w:id="27"/>
      <w:bookmarkEnd w:id="28"/>
      <w:r>
        <w:rPr>
          <w:rFonts w:cs="Arial"/>
          <w:b/>
          <w:bCs/>
          <w:szCs w:val="22"/>
          <w:lang w:eastAsia="x-none"/>
        </w:rPr>
        <w:t>y Incident</w:t>
      </w:r>
    </w:p>
    <w:p w14:paraId="1B9798BF" w14:textId="16890104" w:rsidR="0017525B" w:rsidRPr="006D36DA" w:rsidRDefault="0017525B" w:rsidP="0017525B">
      <w:pPr>
        <w:spacing w:before="120" w:after="120"/>
        <w:ind w:left="567"/>
        <w:rPr>
          <w:lang w:val="en-GB" w:eastAsia="en-US"/>
        </w:rPr>
      </w:pPr>
      <w:r w:rsidRPr="006D36DA">
        <w:rPr>
          <w:lang w:val="en-GB" w:eastAsia="en-US"/>
        </w:rPr>
        <w:t xml:space="preserve">To achieve consistency in reporting at </w:t>
      </w:r>
      <w:r>
        <w:rPr>
          <w:lang w:val="en-GB" w:eastAsia="en-US"/>
        </w:rPr>
        <w:t>the Kaius Mine</w:t>
      </w:r>
      <w:r w:rsidRPr="006D36DA">
        <w:rPr>
          <w:lang w:val="en-GB" w:eastAsia="en-US"/>
        </w:rPr>
        <w:t xml:space="preserve">, the incident/injury classifications in </w:t>
      </w:r>
      <w:r>
        <w:rPr>
          <w:lang w:val="en-GB" w:eastAsia="en-US"/>
        </w:rPr>
        <w:t xml:space="preserve">table 2 below </w:t>
      </w:r>
      <w:r w:rsidRPr="006D36DA">
        <w:rPr>
          <w:lang w:val="en-GB" w:eastAsia="en-US"/>
        </w:rPr>
        <w:t xml:space="preserve">must be used when recording incidents into </w:t>
      </w:r>
      <w:r>
        <w:rPr>
          <w:lang w:val="en-GB" w:eastAsia="en-US"/>
        </w:rPr>
        <w:t>the incident reporting system</w:t>
      </w:r>
      <w:r w:rsidRPr="006D36DA">
        <w:rPr>
          <w:lang w:val="en-GB" w:eastAsia="en-US"/>
        </w:rPr>
        <w:t xml:space="preserve">. </w:t>
      </w:r>
    </w:p>
    <w:p w14:paraId="21CB93DB" w14:textId="77777777" w:rsidR="0017525B" w:rsidRPr="006D36DA" w:rsidRDefault="0017525B" w:rsidP="0017525B">
      <w:pPr>
        <w:spacing w:before="120" w:after="120"/>
        <w:ind w:left="567"/>
        <w:rPr>
          <w:lang w:val="en-GB" w:eastAsia="en-US"/>
        </w:rPr>
      </w:pPr>
      <w:r w:rsidRPr="006D36DA">
        <w:rPr>
          <w:lang w:val="en-GB" w:eastAsia="en-US"/>
        </w:rPr>
        <w:t>It is acknowledged that any given description of an event may not be precisely applicable in all cases. In such an instance the category clos</w:t>
      </w:r>
      <w:r>
        <w:rPr>
          <w:lang w:val="en-GB" w:eastAsia="en-US"/>
        </w:rPr>
        <w:t>est in meaning should be chosen</w:t>
      </w:r>
    </w:p>
    <w:p w14:paraId="19F40271" w14:textId="77777777" w:rsidR="0017525B" w:rsidRPr="00764EDC" w:rsidRDefault="0017525B" w:rsidP="0017525B">
      <w:pPr>
        <w:pStyle w:val="Body"/>
        <w:ind w:left="0" w:firstLine="567"/>
        <w:rPr>
          <w:b/>
        </w:rPr>
      </w:pPr>
      <w:r w:rsidRPr="00764EDC">
        <w:rPr>
          <w:b/>
        </w:rPr>
        <w:t>Table 2: Classifications</w:t>
      </w:r>
      <w:r>
        <w:rPr>
          <w:b/>
        </w:rPr>
        <w:t xml:space="preserve"> Table</w:t>
      </w:r>
    </w:p>
    <w:tbl>
      <w:tblPr>
        <w:tblW w:w="4861" w:type="pc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644"/>
      </w:tblGrid>
      <w:tr w:rsidR="0017525B" w:rsidRPr="002168F0" w14:paraId="39E48C67" w14:textId="77777777" w:rsidTr="00CA415A">
        <w:trPr>
          <w:cantSplit/>
          <w:tblHeader/>
        </w:trPr>
        <w:tc>
          <w:tcPr>
            <w:tcW w:w="1031" w:type="pct"/>
            <w:shd w:val="clear" w:color="auto" w:fill="F2F2F2"/>
          </w:tcPr>
          <w:p w14:paraId="410E6046" w14:textId="77777777" w:rsidR="0017525B" w:rsidRPr="00D70A37" w:rsidRDefault="0017525B" w:rsidP="00CA415A">
            <w:pPr>
              <w:pStyle w:val="TableText"/>
              <w:spacing w:before="60" w:after="60"/>
              <w:rPr>
                <w:b/>
                <w:sz w:val="18"/>
              </w:rPr>
            </w:pPr>
            <w:r w:rsidRPr="00D70A37">
              <w:rPr>
                <w:b/>
                <w:sz w:val="18"/>
              </w:rPr>
              <w:t>Classification</w:t>
            </w:r>
          </w:p>
        </w:tc>
        <w:tc>
          <w:tcPr>
            <w:tcW w:w="3969" w:type="pct"/>
            <w:shd w:val="clear" w:color="auto" w:fill="F2F2F2"/>
          </w:tcPr>
          <w:p w14:paraId="5F90323F" w14:textId="77777777" w:rsidR="0017525B" w:rsidRPr="00D70A37" w:rsidRDefault="0017525B" w:rsidP="00CA415A">
            <w:pPr>
              <w:pStyle w:val="TableText"/>
              <w:spacing w:before="60" w:after="60"/>
              <w:jc w:val="center"/>
              <w:rPr>
                <w:b/>
                <w:sz w:val="18"/>
              </w:rPr>
            </w:pPr>
            <w:r w:rsidRPr="00D70A37">
              <w:rPr>
                <w:b/>
                <w:sz w:val="18"/>
              </w:rPr>
              <w:t>Description</w:t>
            </w:r>
          </w:p>
        </w:tc>
      </w:tr>
      <w:tr w:rsidR="0017525B" w:rsidRPr="00050A5F" w14:paraId="4C123A5D" w14:textId="77777777" w:rsidTr="00CA415A">
        <w:trPr>
          <w:cantSplit/>
        </w:trPr>
        <w:tc>
          <w:tcPr>
            <w:tcW w:w="5000" w:type="pct"/>
            <w:gridSpan w:val="2"/>
            <w:tcBorders>
              <w:bottom w:val="single" w:sz="2" w:space="0" w:color="auto"/>
            </w:tcBorders>
            <w:shd w:val="clear" w:color="auto" w:fill="F2F2F2"/>
          </w:tcPr>
          <w:p w14:paraId="0FEB2C61" w14:textId="77777777" w:rsidR="0017525B" w:rsidRPr="00050A5F" w:rsidRDefault="0017525B" w:rsidP="00CA415A">
            <w:pPr>
              <w:pStyle w:val="TableText"/>
              <w:spacing w:before="60" w:after="60"/>
              <w:jc w:val="center"/>
            </w:pPr>
            <w:r w:rsidRPr="00D70A37">
              <w:rPr>
                <w:b/>
                <w:sz w:val="20"/>
              </w:rPr>
              <w:t>Injury</w:t>
            </w:r>
          </w:p>
        </w:tc>
      </w:tr>
      <w:tr w:rsidR="0017525B" w:rsidRPr="00050A5F" w14:paraId="2A3B33B6"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7255D34E" w14:textId="77777777" w:rsidR="0017525B" w:rsidRPr="00F97F42" w:rsidRDefault="0017525B" w:rsidP="00CA415A">
            <w:pPr>
              <w:pStyle w:val="Body"/>
              <w:ind w:left="0"/>
              <w:jc w:val="left"/>
              <w:rPr>
                <w:sz w:val="16"/>
                <w:szCs w:val="20"/>
              </w:rPr>
            </w:pPr>
            <w:r w:rsidRPr="00F97F42">
              <w:rPr>
                <w:sz w:val="16"/>
                <w:szCs w:val="20"/>
              </w:rPr>
              <w:t>Fatality</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61984926" w14:textId="77777777" w:rsidR="0017525B" w:rsidRPr="00F97F42" w:rsidRDefault="0017525B" w:rsidP="00CA415A">
            <w:pPr>
              <w:pStyle w:val="Body"/>
              <w:ind w:left="0"/>
              <w:rPr>
                <w:sz w:val="16"/>
                <w:szCs w:val="20"/>
              </w:rPr>
            </w:pPr>
            <w:r w:rsidRPr="00F97F42">
              <w:rPr>
                <w:sz w:val="16"/>
                <w:szCs w:val="20"/>
              </w:rPr>
              <w:t>Any work related incident resulting in death.</w:t>
            </w:r>
          </w:p>
        </w:tc>
      </w:tr>
      <w:tr w:rsidR="0017525B" w:rsidRPr="00680F94" w14:paraId="402587F6"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3C3B9F17" w14:textId="77777777" w:rsidR="0017525B" w:rsidRPr="00F97F42" w:rsidRDefault="0017525B" w:rsidP="00CA415A">
            <w:pPr>
              <w:pStyle w:val="Body"/>
              <w:ind w:left="0"/>
              <w:jc w:val="left"/>
              <w:rPr>
                <w:sz w:val="16"/>
                <w:szCs w:val="20"/>
              </w:rPr>
            </w:pPr>
            <w:r w:rsidRPr="00F97F42">
              <w:rPr>
                <w:sz w:val="16"/>
                <w:szCs w:val="20"/>
              </w:rPr>
              <w:lastRenderedPageBreak/>
              <w:t>First Aid Injury (FAI)</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56530441" w14:textId="77777777" w:rsidR="0017525B" w:rsidRPr="00F97F42" w:rsidRDefault="0017525B" w:rsidP="00CA415A">
            <w:pPr>
              <w:pStyle w:val="TableParagraph"/>
              <w:ind w:right="307"/>
              <w:rPr>
                <w:rFonts w:eastAsia="Times New Roman" w:cs="Times New Roman"/>
                <w:sz w:val="16"/>
                <w:szCs w:val="20"/>
                <w:lang w:val="en-GB"/>
              </w:rPr>
            </w:pPr>
            <w:r w:rsidRPr="00F97F42">
              <w:rPr>
                <w:rFonts w:eastAsia="Times New Roman" w:cs="Times New Roman"/>
                <w:sz w:val="16"/>
                <w:szCs w:val="20"/>
                <w:lang w:val="en-GB"/>
              </w:rPr>
              <w:t>A First Aid Injury (FAI) is recorded when first aid treatment is administered as a result of a work- related injury or illness.</w:t>
            </w:r>
          </w:p>
          <w:p w14:paraId="49D715B8" w14:textId="77777777" w:rsidR="0017525B" w:rsidRPr="00F97F42" w:rsidRDefault="0017525B" w:rsidP="00CA415A">
            <w:pPr>
              <w:pStyle w:val="TableParagraph"/>
              <w:spacing w:line="183" w:lineRule="exact"/>
              <w:rPr>
                <w:rFonts w:eastAsia="Times New Roman" w:cs="Times New Roman"/>
                <w:sz w:val="16"/>
                <w:szCs w:val="20"/>
                <w:lang w:val="en-GB"/>
              </w:rPr>
            </w:pPr>
            <w:r w:rsidRPr="00F97F42">
              <w:rPr>
                <w:rFonts w:eastAsia="Times New Roman" w:cs="Times New Roman"/>
                <w:sz w:val="16"/>
                <w:szCs w:val="20"/>
                <w:lang w:val="en-GB"/>
              </w:rPr>
              <w:t>First Aid means the following treatments:</w:t>
            </w:r>
          </w:p>
          <w:p w14:paraId="5B690118" w14:textId="77777777" w:rsidR="0017525B" w:rsidRPr="00F97F42" w:rsidRDefault="0017525B" w:rsidP="004279CE">
            <w:pPr>
              <w:pStyle w:val="TableParagraph"/>
              <w:numPr>
                <w:ilvl w:val="0"/>
                <w:numId w:val="15"/>
              </w:numPr>
              <w:tabs>
                <w:tab w:val="left" w:pos="424"/>
                <w:tab w:val="left" w:pos="425"/>
              </w:tabs>
              <w:ind w:right="147"/>
              <w:rPr>
                <w:rFonts w:eastAsia="Times New Roman" w:cs="Times New Roman"/>
                <w:sz w:val="16"/>
                <w:szCs w:val="20"/>
                <w:lang w:val="en-GB"/>
              </w:rPr>
            </w:pPr>
            <w:r w:rsidRPr="00F97F42">
              <w:rPr>
                <w:rFonts w:eastAsia="Times New Roman" w:cs="Times New Roman"/>
                <w:sz w:val="16"/>
                <w:szCs w:val="20"/>
                <w:lang w:val="en-GB"/>
              </w:rPr>
              <w:t>Using a non-prescription medication at non- prescription strength (for medications available in both prescription and non-prescription form, a recommendation by a physician or other licensed health care professional to use a non-prescription medication at prescription strength is considered medical treatment);</w:t>
            </w:r>
          </w:p>
          <w:p w14:paraId="665BD9F9" w14:textId="77777777" w:rsidR="0017525B" w:rsidRPr="00F97F42" w:rsidRDefault="0017525B" w:rsidP="004279CE">
            <w:pPr>
              <w:pStyle w:val="TableParagraph"/>
              <w:numPr>
                <w:ilvl w:val="0"/>
                <w:numId w:val="15"/>
              </w:numPr>
              <w:tabs>
                <w:tab w:val="left" w:pos="424"/>
                <w:tab w:val="left" w:pos="425"/>
              </w:tabs>
              <w:ind w:right="408"/>
              <w:rPr>
                <w:rFonts w:eastAsia="Times New Roman" w:cs="Times New Roman"/>
                <w:sz w:val="16"/>
                <w:szCs w:val="20"/>
                <w:lang w:val="en-GB"/>
              </w:rPr>
            </w:pPr>
            <w:r w:rsidRPr="00F97F42">
              <w:rPr>
                <w:rFonts w:eastAsia="Times New Roman" w:cs="Times New Roman"/>
                <w:sz w:val="16"/>
                <w:szCs w:val="20"/>
                <w:lang w:val="en-GB"/>
              </w:rPr>
              <w:t>Administering tetanus immunisations (other immunisations, such as Hepatitis B vaccine or rabies vaccine, are considered medical treatment);</w:t>
            </w:r>
          </w:p>
          <w:p w14:paraId="6CC600A4" w14:textId="77777777" w:rsidR="0017525B" w:rsidRPr="00F97F42" w:rsidRDefault="0017525B" w:rsidP="004279CE">
            <w:pPr>
              <w:pStyle w:val="TableParagraph"/>
              <w:numPr>
                <w:ilvl w:val="0"/>
                <w:numId w:val="15"/>
              </w:numPr>
              <w:tabs>
                <w:tab w:val="left" w:pos="424"/>
                <w:tab w:val="left" w:pos="425"/>
              </w:tabs>
              <w:spacing w:line="183" w:lineRule="exact"/>
              <w:rPr>
                <w:rFonts w:eastAsia="Times New Roman" w:cs="Times New Roman"/>
                <w:sz w:val="16"/>
                <w:szCs w:val="20"/>
                <w:lang w:val="en-GB"/>
              </w:rPr>
            </w:pPr>
            <w:r w:rsidRPr="00F97F42">
              <w:rPr>
                <w:rFonts w:eastAsia="Times New Roman" w:cs="Times New Roman"/>
                <w:sz w:val="16"/>
                <w:szCs w:val="20"/>
                <w:lang w:val="en-GB"/>
              </w:rPr>
              <w:t>Cleaning, flushing or soaking wounds on the surface of the skin;</w:t>
            </w:r>
          </w:p>
          <w:p w14:paraId="031395F5" w14:textId="77777777" w:rsidR="0017525B" w:rsidRPr="00F97F42" w:rsidRDefault="0017525B" w:rsidP="004279CE">
            <w:pPr>
              <w:pStyle w:val="TableParagraph"/>
              <w:numPr>
                <w:ilvl w:val="0"/>
                <w:numId w:val="15"/>
              </w:numPr>
              <w:tabs>
                <w:tab w:val="left" w:pos="424"/>
                <w:tab w:val="left" w:pos="425"/>
              </w:tabs>
              <w:ind w:right="425"/>
              <w:rPr>
                <w:rFonts w:eastAsia="Times New Roman" w:cs="Times New Roman"/>
                <w:sz w:val="16"/>
                <w:szCs w:val="20"/>
                <w:lang w:val="en-GB"/>
              </w:rPr>
            </w:pPr>
            <w:r w:rsidRPr="00F97F42">
              <w:rPr>
                <w:rFonts w:eastAsia="Times New Roman" w:cs="Times New Roman"/>
                <w:sz w:val="16"/>
                <w:szCs w:val="20"/>
                <w:lang w:val="en-GB"/>
              </w:rPr>
              <w:t>Using wound coverings such as bandages, Band-Aids, gauze pads; or using butterfly bandages (</w:t>
            </w:r>
            <w:proofErr w:type="spellStart"/>
            <w:r w:rsidRPr="00F97F42">
              <w:rPr>
                <w:rFonts w:eastAsia="Times New Roman" w:cs="Times New Roman"/>
                <w:sz w:val="16"/>
                <w:szCs w:val="20"/>
                <w:lang w:val="en-GB"/>
              </w:rPr>
              <w:t>Steri</w:t>
            </w:r>
            <w:proofErr w:type="spellEnd"/>
            <w:r w:rsidRPr="00F97F42">
              <w:rPr>
                <w:rFonts w:eastAsia="Times New Roman" w:cs="Times New Roman"/>
                <w:sz w:val="16"/>
                <w:szCs w:val="20"/>
                <w:lang w:val="en-GB"/>
              </w:rPr>
              <w:t>-Strips). Other wound closing devices such as sutures, staples or glue are considered medical treatment;</w:t>
            </w:r>
          </w:p>
          <w:p w14:paraId="216C8D94" w14:textId="77777777" w:rsidR="0017525B" w:rsidRPr="00F97F42" w:rsidRDefault="0017525B" w:rsidP="004279CE">
            <w:pPr>
              <w:pStyle w:val="TableParagraph"/>
              <w:numPr>
                <w:ilvl w:val="0"/>
                <w:numId w:val="15"/>
              </w:numPr>
              <w:tabs>
                <w:tab w:val="left" w:pos="424"/>
                <w:tab w:val="left" w:pos="425"/>
              </w:tabs>
              <w:ind w:right="917"/>
              <w:rPr>
                <w:rFonts w:eastAsia="Times New Roman" w:cs="Times New Roman"/>
                <w:sz w:val="16"/>
                <w:szCs w:val="20"/>
                <w:lang w:val="en-GB"/>
              </w:rPr>
            </w:pPr>
            <w:r w:rsidRPr="00F97F42">
              <w:rPr>
                <w:rFonts w:eastAsia="Times New Roman" w:cs="Times New Roman"/>
                <w:sz w:val="16"/>
                <w:szCs w:val="20"/>
                <w:lang w:val="en-GB"/>
              </w:rPr>
              <w:t>Use of hot and cold therapy e.g. compresses, soaking, whirlpools, non-prescription creams/lotions for local relief except for musculoskeletal disorders;</w:t>
            </w:r>
          </w:p>
          <w:p w14:paraId="5C803BBC" w14:textId="77777777" w:rsidR="0017525B" w:rsidRPr="00F97F42" w:rsidRDefault="0017525B" w:rsidP="004279CE">
            <w:pPr>
              <w:pStyle w:val="TableParagraph"/>
              <w:numPr>
                <w:ilvl w:val="0"/>
                <w:numId w:val="15"/>
              </w:numPr>
              <w:tabs>
                <w:tab w:val="left" w:pos="424"/>
                <w:tab w:val="left" w:pos="425"/>
              </w:tabs>
              <w:ind w:right="275"/>
              <w:rPr>
                <w:rFonts w:eastAsia="Times New Roman" w:cs="Times New Roman"/>
                <w:sz w:val="16"/>
                <w:szCs w:val="20"/>
                <w:lang w:val="en-GB"/>
              </w:rPr>
            </w:pPr>
            <w:r w:rsidRPr="00F97F42">
              <w:rPr>
                <w:rFonts w:eastAsia="Times New Roman" w:cs="Times New Roman"/>
                <w:sz w:val="16"/>
                <w:szCs w:val="20"/>
                <w:lang w:val="en-GB"/>
              </w:rPr>
              <w:t>Using any non-rigid means of support, such as elastic bandages, wraps or non-rigid back belts. Devices with rigid stays or other systems designed to immobilise parts of the body are considered medical treatment;</w:t>
            </w:r>
          </w:p>
          <w:p w14:paraId="3E808B64" w14:textId="77777777" w:rsidR="0017525B" w:rsidRPr="00F97F42" w:rsidRDefault="0017525B" w:rsidP="004279CE">
            <w:pPr>
              <w:pStyle w:val="TableParagraph"/>
              <w:numPr>
                <w:ilvl w:val="0"/>
                <w:numId w:val="15"/>
              </w:numPr>
              <w:tabs>
                <w:tab w:val="left" w:pos="424"/>
                <w:tab w:val="left" w:pos="425"/>
              </w:tabs>
              <w:ind w:right="340"/>
              <w:rPr>
                <w:rFonts w:eastAsia="Times New Roman" w:cs="Times New Roman"/>
                <w:sz w:val="16"/>
                <w:szCs w:val="20"/>
                <w:lang w:val="en-GB"/>
              </w:rPr>
            </w:pPr>
            <w:r w:rsidRPr="00F97F42">
              <w:rPr>
                <w:rFonts w:eastAsia="Times New Roman" w:cs="Times New Roman"/>
                <w:sz w:val="16"/>
                <w:szCs w:val="20"/>
                <w:lang w:val="en-GB"/>
              </w:rPr>
              <w:t>Use of temporary immobilisation devices whilst transporting an accident victim (e.g. splints, slings, neck collars);</w:t>
            </w:r>
          </w:p>
          <w:p w14:paraId="64704AFA" w14:textId="77777777" w:rsidR="0017525B" w:rsidRPr="00F97F42" w:rsidRDefault="0017525B" w:rsidP="004279CE">
            <w:pPr>
              <w:pStyle w:val="TableParagraph"/>
              <w:numPr>
                <w:ilvl w:val="0"/>
                <w:numId w:val="15"/>
              </w:numPr>
              <w:tabs>
                <w:tab w:val="left" w:pos="424"/>
                <w:tab w:val="left" w:pos="425"/>
              </w:tabs>
              <w:spacing w:line="184" w:lineRule="exact"/>
              <w:rPr>
                <w:rFonts w:eastAsia="Times New Roman" w:cs="Times New Roman"/>
                <w:sz w:val="16"/>
                <w:szCs w:val="20"/>
                <w:lang w:val="en-GB"/>
              </w:rPr>
            </w:pPr>
            <w:r w:rsidRPr="00F97F42">
              <w:rPr>
                <w:rFonts w:eastAsia="Times New Roman" w:cs="Times New Roman"/>
                <w:sz w:val="16"/>
                <w:szCs w:val="20"/>
                <w:lang w:val="en-GB"/>
              </w:rPr>
              <w:t>Drilling of a nail to relieve pressure or draining fluid from blisters;</w:t>
            </w:r>
          </w:p>
          <w:p w14:paraId="42F935E2" w14:textId="77777777" w:rsidR="0017525B" w:rsidRPr="00F97F42" w:rsidRDefault="0017525B" w:rsidP="004279CE">
            <w:pPr>
              <w:pStyle w:val="TableParagraph"/>
              <w:numPr>
                <w:ilvl w:val="0"/>
                <w:numId w:val="15"/>
              </w:numPr>
              <w:tabs>
                <w:tab w:val="left" w:pos="424"/>
                <w:tab w:val="left" w:pos="425"/>
              </w:tabs>
              <w:spacing w:line="183" w:lineRule="exact"/>
              <w:rPr>
                <w:rFonts w:eastAsia="Times New Roman" w:cs="Times New Roman"/>
                <w:sz w:val="16"/>
                <w:szCs w:val="20"/>
                <w:lang w:val="en-GB"/>
              </w:rPr>
            </w:pPr>
            <w:r w:rsidRPr="00F97F42">
              <w:rPr>
                <w:rFonts w:eastAsia="Times New Roman" w:cs="Times New Roman"/>
                <w:sz w:val="16"/>
                <w:szCs w:val="20"/>
                <w:lang w:val="en-GB"/>
              </w:rPr>
              <w:t>Use of eye patches;</w:t>
            </w:r>
          </w:p>
          <w:p w14:paraId="6D94E981" w14:textId="77777777" w:rsidR="0017525B" w:rsidRPr="00F97F42" w:rsidRDefault="0017525B" w:rsidP="004279CE">
            <w:pPr>
              <w:pStyle w:val="TableParagraph"/>
              <w:numPr>
                <w:ilvl w:val="0"/>
                <w:numId w:val="15"/>
              </w:numPr>
              <w:tabs>
                <w:tab w:val="left" w:pos="424"/>
                <w:tab w:val="left" w:pos="425"/>
              </w:tabs>
              <w:ind w:right="229"/>
              <w:rPr>
                <w:rFonts w:eastAsia="Times New Roman" w:cs="Times New Roman"/>
                <w:sz w:val="16"/>
                <w:szCs w:val="20"/>
                <w:lang w:val="en-GB"/>
              </w:rPr>
            </w:pPr>
            <w:r w:rsidRPr="00F97F42">
              <w:rPr>
                <w:rFonts w:eastAsia="Times New Roman" w:cs="Times New Roman"/>
                <w:sz w:val="16"/>
                <w:szCs w:val="20"/>
                <w:lang w:val="en-GB"/>
              </w:rPr>
              <w:t>Removal of foreign bodies embedded in the eye if only irrigation or removal with cotton swab is required;</w:t>
            </w:r>
          </w:p>
          <w:p w14:paraId="04CEE1DE" w14:textId="77777777" w:rsidR="0017525B" w:rsidRPr="00F97F42" w:rsidRDefault="0017525B" w:rsidP="004279CE">
            <w:pPr>
              <w:pStyle w:val="TableParagraph"/>
              <w:numPr>
                <w:ilvl w:val="0"/>
                <w:numId w:val="15"/>
              </w:numPr>
              <w:tabs>
                <w:tab w:val="left" w:pos="424"/>
                <w:tab w:val="left" w:pos="425"/>
              </w:tabs>
              <w:ind w:right="122"/>
              <w:rPr>
                <w:rFonts w:eastAsia="Times New Roman" w:cs="Times New Roman"/>
                <w:sz w:val="16"/>
                <w:szCs w:val="20"/>
                <w:lang w:val="en-GB"/>
              </w:rPr>
            </w:pPr>
            <w:r w:rsidRPr="00F97F42">
              <w:rPr>
                <w:rFonts w:eastAsia="Times New Roman" w:cs="Times New Roman"/>
                <w:sz w:val="16"/>
                <w:szCs w:val="20"/>
                <w:lang w:val="en-GB"/>
              </w:rPr>
              <w:t>Removal of splinters or foreign material from areas other than the eyes by irrigation, tweezers, cotton swabs or other simple means;</w:t>
            </w:r>
          </w:p>
          <w:p w14:paraId="0FBBB9A0" w14:textId="77777777" w:rsidR="0017525B" w:rsidRPr="00F97F42" w:rsidRDefault="0017525B" w:rsidP="004279CE">
            <w:pPr>
              <w:pStyle w:val="TableParagraph"/>
              <w:numPr>
                <w:ilvl w:val="0"/>
                <w:numId w:val="15"/>
              </w:numPr>
              <w:tabs>
                <w:tab w:val="left" w:pos="424"/>
                <w:tab w:val="left" w:pos="425"/>
              </w:tabs>
              <w:spacing w:line="183" w:lineRule="exact"/>
              <w:rPr>
                <w:rFonts w:eastAsia="Times New Roman" w:cs="Times New Roman"/>
                <w:sz w:val="16"/>
                <w:szCs w:val="20"/>
                <w:lang w:val="en-GB"/>
              </w:rPr>
            </w:pPr>
            <w:r w:rsidRPr="00F97F42">
              <w:rPr>
                <w:rFonts w:eastAsia="Times New Roman" w:cs="Times New Roman"/>
                <w:sz w:val="16"/>
                <w:szCs w:val="20"/>
                <w:lang w:val="en-GB"/>
              </w:rPr>
              <w:t>Massage (physical therapy is a medical treatment);</w:t>
            </w:r>
          </w:p>
          <w:p w14:paraId="2FCCD68A" w14:textId="77777777" w:rsidR="0017525B" w:rsidRPr="00F97F42" w:rsidRDefault="0017525B" w:rsidP="004279CE">
            <w:pPr>
              <w:pStyle w:val="TableParagraph"/>
              <w:numPr>
                <w:ilvl w:val="0"/>
                <w:numId w:val="15"/>
              </w:numPr>
              <w:tabs>
                <w:tab w:val="left" w:pos="424"/>
                <w:tab w:val="left" w:pos="425"/>
              </w:tabs>
              <w:spacing w:line="183" w:lineRule="exact"/>
              <w:rPr>
                <w:rFonts w:eastAsia="Times New Roman" w:cs="Times New Roman"/>
                <w:sz w:val="16"/>
                <w:szCs w:val="20"/>
                <w:lang w:val="en-GB"/>
              </w:rPr>
            </w:pPr>
            <w:r w:rsidRPr="00F97F42">
              <w:rPr>
                <w:rFonts w:eastAsia="Times New Roman" w:cs="Times New Roman"/>
                <w:sz w:val="16"/>
                <w:szCs w:val="20"/>
                <w:lang w:val="en-GB"/>
              </w:rPr>
              <w:t>Drinking fluids to treat heat stress;</w:t>
            </w:r>
          </w:p>
          <w:p w14:paraId="604F3470" w14:textId="77777777" w:rsidR="0017525B" w:rsidRPr="00F97F42" w:rsidRDefault="0017525B" w:rsidP="004279CE">
            <w:pPr>
              <w:pStyle w:val="TableParagraph"/>
              <w:numPr>
                <w:ilvl w:val="0"/>
                <w:numId w:val="15"/>
              </w:numPr>
              <w:tabs>
                <w:tab w:val="left" w:pos="424"/>
                <w:tab w:val="left" w:pos="425"/>
              </w:tabs>
              <w:ind w:right="774"/>
              <w:rPr>
                <w:rFonts w:eastAsia="Times New Roman" w:cs="Times New Roman"/>
                <w:sz w:val="16"/>
                <w:szCs w:val="20"/>
                <w:lang w:val="en-GB"/>
              </w:rPr>
            </w:pPr>
            <w:r w:rsidRPr="00F97F42">
              <w:rPr>
                <w:rFonts w:eastAsia="Times New Roman" w:cs="Times New Roman"/>
                <w:sz w:val="16"/>
                <w:szCs w:val="20"/>
                <w:lang w:val="en-GB"/>
              </w:rPr>
              <w:t>Oxygen administered on a precautionary basis, and not required to successfully treat injury/illness (e.g. heat stress or to prevent the onset of altitude sickness).</w:t>
            </w:r>
          </w:p>
          <w:p w14:paraId="599B9164" w14:textId="77777777" w:rsidR="0017525B" w:rsidRPr="00F97F42" w:rsidRDefault="0017525B" w:rsidP="00CA415A">
            <w:pPr>
              <w:pStyle w:val="TableText"/>
              <w:spacing w:before="60" w:after="60"/>
              <w:jc w:val="both"/>
            </w:pPr>
            <w:r w:rsidRPr="00F97F42">
              <w:t>All of the above are regarded as First Aid Treatments regardless of the professional status of the provider who may be a physician, nurse, Emergency Services Officers or other health care provider.</w:t>
            </w:r>
          </w:p>
        </w:tc>
      </w:tr>
      <w:tr w:rsidR="0017525B" w:rsidRPr="00050A5F" w14:paraId="1BE32189"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7ADDD203" w14:textId="77777777" w:rsidR="0017525B" w:rsidRPr="00F97F42" w:rsidRDefault="0017525B" w:rsidP="00CA415A">
            <w:pPr>
              <w:pStyle w:val="Body"/>
              <w:ind w:left="0"/>
              <w:jc w:val="left"/>
              <w:rPr>
                <w:sz w:val="16"/>
                <w:szCs w:val="20"/>
              </w:rPr>
            </w:pPr>
            <w:r w:rsidRPr="00F97F42">
              <w:rPr>
                <w:sz w:val="16"/>
                <w:szCs w:val="20"/>
              </w:rPr>
              <w:t>Injury No Treatment</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2ACEC1A4" w14:textId="77777777" w:rsidR="0017525B" w:rsidRPr="00F97F42" w:rsidRDefault="0017525B" w:rsidP="00CA415A">
            <w:pPr>
              <w:pStyle w:val="TableParagraph"/>
              <w:spacing w:line="237" w:lineRule="auto"/>
              <w:ind w:right="172"/>
              <w:rPr>
                <w:rFonts w:eastAsia="Times New Roman" w:cs="Times New Roman"/>
                <w:sz w:val="16"/>
                <w:szCs w:val="20"/>
                <w:lang w:val="en-GB"/>
              </w:rPr>
            </w:pPr>
            <w:r w:rsidRPr="00F97F42">
              <w:rPr>
                <w:rFonts w:eastAsia="Times New Roman" w:cs="Times New Roman"/>
                <w:sz w:val="16"/>
                <w:szCs w:val="20"/>
                <w:lang w:val="en-GB"/>
              </w:rPr>
              <w:t>An injury with no treatment is recorded for the sole purpose of documenting a work-related injury / illness that has been reported, however no treatment was required. Examples are:</w:t>
            </w:r>
          </w:p>
          <w:p w14:paraId="58E7707E" w14:textId="77777777" w:rsidR="0017525B" w:rsidRPr="00F97F42" w:rsidRDefault="0017525B" w:rsidP="004279CE">
            <w:pPr>
              <w:pStyle w:val="TableParagraph"/>
              <w:numPr>
                <w:ilvl w:val="0"/>
                <w:numId w:val="16"/>
              </w:numPr>
              <w:tabs>
                <w:tab w:val="left" w:pos="424"/>
                <w:tab w:val="left" w:pos="425"/>
              </w:tabs>
              <w:rPr>
                <w:rFonts w:eastAsia="Times New Roman" w:cs="Times New Roman"/>
                <w:sz w:val="16"/>
                <w:szCs w:val="20"/>
                <w:lang w:val="en-GB"/>
              </w:rPr>
            </w:pPr>
            <w:r w:rsidRPr="00F97F42">
              <w:rPr>
                <w:rFonts w:eastAsia="Times New Roman" w:cs="Times New Roman"/>
                <w:sz w:val="16"/>
                <w:szCs w:val="20"/>
                <w:lang w:val="en-GB"/>
              </w:rPr>
              <w:t>Visit(s) to a health care provider for the sole purpose of observation;</w:t>
            </w:r>
          </w:p>
          <w:p w14:paraId="41D3694A" w14:textId="77777777" w:rsidR="0017525B" w:rsidRPr="00F97F42" w:rsidRDefault="0017525B" w:rsidP="004279CE">
            <w:pPr>
              <w:pStyle w:val="TableParagraph"/>
              <w:numPr>
                <w:ilvl w:val="0"/>
                <w:numId w:val="16"/>
              </w:numPr>
              <w:tabs>
                <w:tab w:val="left" w:pos="424"/>
                <w:tab w:val="left" w:pos="425"/>
              </w:tabs>
              <w:ind w:right="362"/>
              <w:rPr>
                <w:rFonts w:eastAsia="Times New Roman" w:cs="Times New Roman"/>
                <w:sz w:val="16"/>
                <w:szCs w:val="20"/>
                <w:lang w:val="en-GB"/>
              </w:rPr>
            </w:pPr>
            <w:r w:rsidRPr="00F97F42">
              <w:rPr>
                <w:rFonts w:eastAsia="Times New Roman" w:cs="Times New Roman"/>
                <w:sz w:val="16"/>
                <w:szCs w:val="20"/>
                <w:lang w:val="en-GB"/>
              </w:rPr>
              <w:t>Reporting injury/illness which have been resolved or have no requirement for monitoring or medical intervention;</w:t>
            </w:r>
          </w:p>
          <w:p w14:paraId="667B1BB7" w14:textId="77777777" w:rsidR="0017525B" w:rsidRPr="00F97F42" w:rsidRDefault="0017525B" w:rsidP="00CA415A">
            <w:pPr>
              <w:pStyle w:val="TableText"/>
              <w:spacing w:before="60" w:after="60"/>
              <w:jc w:val="both"/>
            </w:pPr>
            <w:r w:rsidRPr="00F97F42">
              <w:t>Physical examination if no condition is identified and treatment not administered.</w:t>
            </w:r>
          </w:p>
        </w:tc>
      </w:tr>
      <w:tr w:rsidR="0017525B" w:rsidRPr="00050A5F" w14:paraId="30231682"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738A4761" w14:textId="77777777" w:rsidR="0017525B" w:rsidRPr="00F97F42" w:rsidRDefault="0017525B" w:rsidP="00CA415A">
            <w:pPr>
              <w:pStyle w:val="Body"/>
              <w:ind w:left="0"/>
              <w:jc w:val="left"/>
              <w:rPr>
                <w:sz w:val="16"/>
                <w:szCs w:val="20"/>
              </w:rPr>
            </w:pPr>
            <w:r w:rsidRPr="00F97F42">
              <w:rPr>
                <w:sz w:val="16"/>
                <w:szCs w:val="20"/>
              </w:rPr>
              <w:t>Lost Time Injury (LTI)</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1AE14070" w14:textId="77777777" w:rsidR="0017525B" w:rsidRPr="00F97F42" w:rsidRDefault="0017525B" w:rsidP="00CA415A">
            <w:pPr>
              <w:pStyle w:val="TableParagraph"/>
              <w:ind w:right="196"/>
              <w:jc w:val="both"/>
              <w:rPr>
                <w:rFonts w:eastAsia="Times New Roman" w:cs="Times New Roman"/>
                <w:sz w:val="16"/>
                <w:szCs w:val="20"/>
                <w:lang w:val="en-GB"/>
              </w:rPr>
            </w:pPr>
            <w:r w:rsidRPr="00F97F42">
              <w:rPr>
                <w:rFonts w:eastAsia="Times New Roman" w:cs="Times New Roman"/>
                <w:sz w:val="16"/>
                <w:szCs w:val="20"/>
                <w:lang w:val="en-GB"/>
              </w:rPr>
              <w:t>A LTI is a work-related injury or illness resulting in the injured person being unable to attend work for their next rostered or any subsequent full working day, following the shift after the injury/illness has occurred.</w:t>
            </w:r>
          </w:p>
          <w:p w14:paraId="4E71C741" w14:textId="77777777" w:rsidR="0017525B" w:rsidRPr="00F97F42" w:rsidRDefault="0017525B" w:rsidP="00CA415A">
            <w:pPr>
              <w:pStyle w:val="TableParagraph"/>
              <w:ind w:right="225"/>
              <w:rPr>
                <w:rFonts w:eastAsia="Times New Roman" w:cs="Times New Roman"/>
                <w:sz w:val="16"/>
                <w:szCs w:val="20"/>
                <w:lang w:val="en-GB"/>
              </w:rPr>
            </w:pPr>
            <w:r w:rsidRPr="00F97F42">
              <w:rPr>
                <w:rFonts w:eastAsia="Times New Roman" w:cs="Times New Roman"/>
                <w:sz w:val="16"/>
                <w:szCs w:val="20"/>
                <w:lang w:val="en-GB"/>
              </w:rPr>
              <w:t>If a suitably qualified medical professional (i.e. a doctor) advises that the injured person is unable to attend work for a normal rostered full working day after the shift that injury/ illness occurred, a lost time injury is deemed to have occurred.</w:t>
            </w:r>
          </w:p>
          <w:p w14:paraId="7DF5D5C9" w14:textId="77777777" w:rsidR="0017525B" w:rsidRPr="00F97F42" w:rsidRDefault="0017525B" w:rsidP="00CA415A">
            <w:pPr>
              <w:pStyle w:val="TableParagraph"/>
              <w:spacing w:line="183" w:lineRule="exact"/>
              <w:rPr>
                <w:rFonts w:eastAsia="Times New Roman" w:cs="Times New Roman"/>
                <w:sz w:val="16"/>
                <w:szCs w:val="20"/>
                <w:lang w:val="en-GB"/>
              </w:rPr>
            </w:pPr>
            <w:r w:rsidRPr="00F97F42">
              <w:rPr>
                <w:rFonts w:eastAsia="Times New Roman" w:cs="Times New Roman"/>
                <w:sz w:val="16"/>
                <w:szCs w:val="20"/>
                <w:lang w:val="en-GB"/>
              </w:rPr>
              <w:t>An LTI must be certified by advice from a doctor by way of a Medical Certificate.</w:t>
            </w:r>
          </w:p>
          <w:p w14:paraId="5B1783AB" w14:textId="77777777" w:rsidR="0017525B" w:rsidRPr="00F97F42" w:rsidRDefault="0017525B" w:rsidP="00CA415A">
            <w:pPr>
              <w:pStyle w:val="TableText"/>
              <w:spacing w:before="60" w:after="60"/>
              <w:jc w:val="both"/>
            </w:pPr>
            <w:r w:rsidRPr="00F97F42">
              <w:t>Note: Aligned to AS 1885.1 rather than OSHA standard</w:t>
            </w:r>
          </w:p>
        </w:tc>
      </w:tr>
      <w:tr w:rsidR="0017525B" w:rsidRPr="00050A5F" w14:paraId="22EDEF69" w14:textId="77777777" w:rsidTr="00CA415A">
        <w:trPr>
          <w:cantSplit/>
        </w:trPr>
        <w:tc>
          <w:tcPr>
            <w:tcW w:w="1031" w:type="pct"/>
            <w:shd w:val="clear" w:color="auto" w:fill="auto"/>
          </w:tcPr>
          <w:p w14:paraId="4D233578" w14:textId="77777777" w:rsidR="0017525B" w:rsidRPr="00F97F42" w:rsidRDefault="0017525B" w:rsidP="00CA415A">
            <w:pPr>
              <w:pStyle w:val="Body"/>
              <w:ind w:left="0"/>
              <w:jc w:val="left"/>
              <w:rPr>
                <w:sz w:val="16"/>
                <w:szCs w:val="20"/>
              </w:rPr>
            </w:pPr>
            <w:r w:rsidRPr="00F97F42">
              <w:rPr>
                <w:sz w:val="16"/>
                <w:szCs w:val="20"/>
              </w:rPr>
              <w:t>Lost Work Day</w:t>
            </w:r>
          </w:p>
        </w:tc>
        <w:tc>
          <w:tcPr>
            <w:tcW w:w="3969" w:type="pct"/>
            <w:shd w:val="clear" w:color="auto" w:fill="auto"/>
          </w:tcPr>
          <w:p w14:paraId="5AC717EE" w14:textId="77777777" w:rsidR="0017525B" w:rsidRPr="00F97F42" w:rsidRDefault="0017525B" w:rsidP="00CA415A">
            <w:pPr>
              <w:pStyle w:val="Body"/>
              <w:ind w:left="0"/>
              <w:rPr>
                <w:sz w:val="16"/>
                <w:szCs w:val="20"/>
              </w:rPr>
            </w:pPr>
            <w:r w:rsidRPr="00F97F42">
              <w:rPr>
                <w:sz w:val="16"/>
                <w:szCs w:val="20"/>
              </w:rPr>
              <w:t>Normal rostered work days that have not been completed due to an injury. Time spent travelling, or waiting for diagnosis following an incident is not included in the workdays lost.</w:t>
            </w:r>
          </w:p>
        </w:tc>
      </w:tr>
      <w:tr w:rsidR="0017525B" w:rsidRPr="00680F94" w14:paraId="04D72A63"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1D0662D8" w14:textId="77777777" w:rsidR="0017525B" w:rsidRPr="00F97F42" w:rsidRDefault="0017525B" w:rsidP="00CA415A">
            <w:pPr>
              <w:pStyle w:val="Body"/>
              <w:ind w:left="0"/>
              <w:jc w:val="left"/>
              <w:rPr>
                <w:sz w:val="16"/>
                <w:szCs w:val="20"/>
              </w:rPr>
            </w:pPr>
            <w:r w:rsidRPr="00F97F42">
              <w:rPr>
                <w:sz w:val="16"/>
                <w:szCs w:val="20"/>
              </w:rPr>
              <w:t>Medical Treatment Injury (MTI)</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190AA7D3" w14:textId="77777777" w:rsidR="0017525B" w:rsidRPr="00F97F42" w:rsidRDefault="0017525B" w:rsidP="00CA415A">
            <w:pPr>
              <w:pStyle w:val="TableParagraph"/>
              <w:ind w:right="101"/>
              <w:rPr>
                <w:rFonts w:eastAsia="Times New Roman" w:cs="Times New Roman"/>
                <w:sz w:val="16"/>
                <w:szCs w:val="20"/>
                <w:lang w:val="en-GB"/>
              </w:rPr>
            </w:pPr>
            <w:r w:rsidRPr="00F97F42">
              <w:rPr>
                <w:rFonts w:eastAsia="Times New Roman" w:cs="Times New Roman"/>
                <w:sz w:val="16"/>
                <w:szCs w:val="20"/>
                <w:lang w:val="en-GB"/>
              </w:rPr>
              <w:t>A Medical Treatment Injury is a work related injury or illness resulting in the medical management and care of a patient to enable the person to recover from a disease or disorder, including any loss of consciousness, administration of sutures or the prescription of prescription drugs necessary for recovery of the injury.</w:t>
            </w:r>
          </w:p>
          <w:p w14:paraId="48D51BB3" w14:textId="77777777" w:rsidR="0017525B" w:rsidRPr="00F97F42" w:rsidRDefault="0017525B" w:rsidP="00CA415A">
            <w:pPr>
              <w:pStyle w:val="TableParagraph"/>
              <w:ind w:right="644"/>
              <w:rPr>
                <w:rFonts w:eastAsia="Times New Roman" w:cs="Times New Roman"/>
                <w:sz w:val="16"/>
                <w:szCs w:val="20"/>
                <w:lang w:val="en-GB"/>
              </w:rPr>
            </w:pPr>
            <w:r w:rsidRPr="00F97F42">
              <w:rPr>
                <w:rFonts w:eastAsia="Times New Roman" w:cs="Times New Roman"/>
                <w:sz w:val="16"/>
                <w:szCs w:val="20"/>
                <w:lang w:val="en-GB"/>
              </w:rPr>
              <w:t>Medical Treatment includes the use of non-prescription medication at prescription strength. It does not include:</w:t>
            </w:r>
          </w:p>
          <w:p w14:paraId="329477E5" w14:textId="77777777" w:rsidR="0017525B" w:rsidRPr="00F97F42" w:rsidRDefault="0017525B" w:rsidP="004279CE">
            <w:pPr>
              <w:pStyle w:val="TableParagraph"/>
              <w:numPr>
                <w:ilvl w:val="0"/>
                <w:numId w:val="17"/>
              </w:numPr>
              <w:tabs>
                <w:tab w:val="left" w:pos="424"/>
                <w:tab w:val="left" w:pos="425"/>
              </w:tabs>
              <w:spacing w:line="183" w:lineRule="exact"/>
              <w:rPr>
                <w:rFonts w:eastAsia="Times New Roman" w:cs="Times New Roman"/>
                <w:sz w:val="16"/>
                <w:szCs w:val="20"/>
                <w:lang w:val="en-GB"/>
              </w:rPr>
            </w:pPr>
            <w:r w:rsidRPr="00F97F42">
              <w:rPr>
                <w:rFonts w:eastAsia="Times New Roman" w:cs="Times New Roman"/>
                <w:sz w:val="16"/>
                <w:szCs w:val="20"/>
                <w:lang w:val="en-GB"/>
              </w:rPr>
              <w:t>First Aid Injuries as described above,</w:t>
            </w:r>
          </w:p>
          <w:p w14:paraId="04C86C2E" w14:textId="77777777" w:rsidR="0017525B" w:rsidRPr="00F97F42" w:rsidRDefault="0017525B" w:rsidP="004279CE">
            <w:pPr>
              <w:pStyle w:val="TableParagraph"/>
              <w:numPr>
                <w:ilvl w:val="0"/>
                <w:numId w:val="17"/>
              </w:numPr>
              <w:tabs>
                <w:tab w:val="left" w:pos="424"/>
                <w:tab w:val="left" w:pos="425"/>
              </w:tabs>
              <w:ind w:right="709"/>
              <w:rPr>
                <w:rFonts w:eastAsia="Times New Roman" w:cs="Times New Roman"/>
                <w:sz w:val="16"/>
                <w:szCs w:val="20"/>
                <w:lang w:val="en-GB"/>
              </w:rPr>
            </w:pPr>
            <w:r w:rsidRPr="00F97F42">
              <w:rPr>
                <w:rFonts w:eastAsia="Times New Roman" w:cs="Times New Roman"/>
                <w:sz w:val="16"/>
                <w:szCs w:val="20"/>
                <w:lang w:val="en-GB"/>
              </w:rPr>
              <w:t>Visits to physicians or other licensed health care professional solely for observation or counselling;</w:t>
            </w:r>
          </w:p>
          <w:p w14:paraId="17EAC7FA" w14:textId="77777777" w:rsidR="0017525B" w:rsidRPr="00F97F42" w:rsidRDefault="0017525B" w:rsidP="004279CE">
            <w:pPr>
              <w:pStyle w:val="TableParagraph"/>
              <w:numPr>
                <w:ilvl w:val="0"/>
                <w:numId w:val="17"/>
              </w:numPr>
              <w:tabs>
                <w:tab w:val="left" w:pos="424"/>
                <w:tab w:val="left" w:pos="425"/>
              </w:tabs>
              <w:ind w:right="172"/>
              <w:rPr>
                <w:rFonts w:eastAsia="Times New Roman" w:cs="Times New Roman"/>
                <w:sz w:val="16"/>
                <w:szCs w:val="20"/>
                <w:lang w:val="en-GB"/>
              </w:rPr>
            </w:pPr>
            <w:r w:rsidRPr="00F97F42">
              <w:rPr>
                <w:rFonts w:eastAsia="Times New Roman" w:cs="Times New Roman"/>
                <w:sz w:val="16"/>
                <w:szCs w:val="20"/>
                <w:lang w:val="en-GB"/>
              </w:rPr>
              <w:t>The conduct of diagnostic procedures, such as X-rays and blood tests, including the administration of prescription medications used solely for diagnostic purposes (e.g. eye drops to dilate pupils).</w:t>
            </w:r>
          </w:p>
          <w:p w14:paraId="25067C31" w14:textId="77777777" w:rsidR="0017525B" w:rsidRPr="00F97F42" w:rsidRDefault="0017525B" w:rsidP="00CA415A">
            <w:pPr>
              <w:pStyle w:val="Body"/>
              <w:ind w:left="0"/>
              <w:rPr>
                <w:sz w:val="16"/>
                <w:szCs w:val="20"/>
              </w:rPr>
            </w:pPr>
            <w:r w:rsidRPr="00F97F42">
              <w:rPr>
                <w:sz w:val="16"/>
                <w:szCs w:val="20"/>
              </w:rPr>
              <w:t>Physical therapy treatment (e.g. Physiotherapy) except if administered more than 96 hours after initial referral.</w:t>
            </w:r>
          </w:p>
        </w:tc>
      </w:tr>
      <w:tr w:rsidR="0017525B" w:rsidRPr="00680F94" w14:paraId="6CE267C1" w14:textId="77777777" w:rsidTr="00CA415A">
        <w:trPr>
          <w:cantSplit/>
        </w:trPr>
        <w:tc>
          <w:tcPr>
            <w:tcW w:w="1031" w:type="pct"/>
            <w:shd w:val="clear" w:color="auto" w:fill="auto"/>
          </w:tcPr>
          <w:p w14:paraId="4D81CF7C" w14:textId="77777777" w:rsidR="0017525B" w:rsidRPr="00F97F42" w:rsidRDefault="0017525B" w:rsidP="00CA415A">
            <w:pPr>
              <w:pStyle w:val="Body"/>
              <w:ind w:left="0"/>
              <w:jc w:val="left"/>
              <w:rPr>
                <w:sz w:val="16"/>
                <w:szCs w:val="20"/>
              </w:rPr>
            </w:pPr>
            <w:r w:rsidRPr="00F97F42">
              <w:rPr>
                <w:sz w:val="16"/>
                <w:szCs w:val="20"/>
              </w:rPr>
              <w:lastRenderedPageBreak/>
              <w:t>Precautionary Restricted Duties</w:t>
            </w:r>
          </w:p>
        </w:tc>
        <w:tc>
          <w:tcPr>
            <w:tcW w:w="3969" w:type="pct"/>
            <w:shd w:val="clear" w:color="auto" w:fill="auto"/>
          </w:tcPr>
          <w:p w14:paraId="0801B8BE" w14:textId="77777777" w:rsidR="0017525B" w:rsidRPr="00F97F42" w:rsidRDefault="0017525B" w:rsidP="00CA415A">
            <w:pPr>
              <w:pStyle w:val="TableParagraph"/>
              <w:ind w:right="235"/>
              <w:rPr>
                <w:rFonts w:eastAsia="Times New Roman" w:cs="Times New Roman"/>
                <w:sz w:val="16"/>
                <w:szCs w:val="20"/>
                <w:lang w:val="en-GB"/>
              </w:rPr>
            </w:pPr>
            <w:r w:rsidRPr="00F97F42">
              <w:rPr>
                <w:rFonts w:eastAsia="Times New Roman" w:cs="Times New Roman"/>
                <w:sz w:val="16"/>
                <w:szCs w:val="20"/>
                <w:lang w:val="en-GB"/>
              </w:rPr>
              <w:t>Precautionary restricted duties may be assigned following an injury or illness for the purpose of preventing a more serious condition, if the initial assessment by a licensed health care professional determines that the affected individual is able to perform all routine job functions. Precautionary restricted duties must not exceed 96 calendar hours (not total shift hours) from the time of injury or illness and be reassessed by a licensed health care professional after 48 hours and/or at the end of the precautionary restricted duty period.</w:t>
            </w:r>
          </w:p>
          <w:p w14:paraId="45190BB1" w14:textId="77777777" w:rsidR="0017525B" w:rsidRPr="00F97F42" w:rsidRDefault="0017525B" w:rsidP="00CA415A">
            <w:pPr>
              <w:pStyle w:val="Body"/>
              <w:ind w:left="0"/>
              <w:rPr>
                <w:sz w:val="16"/>
                <w:szCs w:val="20"/>
              </w:rPr>
            </w:pPr>
            <w:r w:rsidRPr="00F97F42">
              <w:rPr>
                <w:sz w:val="16"/>
                <w:szCs w:val="20"/>
              </w:rPr>
              <w:t>Extension of precautionary work restrictions beyond 96 hours automatically converts to a restricted work case dating back to the time of initial injury or illness.</w:t>
            </w:r>
          </w:p>
        </w:tc>
      </w:tr>
      <w:tr w:rsidR="0017525B" w:rsidRPr="00050A5F" w14:paraId="2D4C65A4" w14:textId="77777777" w:rsidTr="00CA415A">
        <w:trPr>
          <w:cantSplit/>
          <w:trHeight w:val="70"/>
        </w:trPr>
        <w:tc>
          <w:tcPr>
            <w:tcW w:w="5000" w:type="pct"/>
            <w:gridSpan w:val="2"/>
            <w:tcBorders>
              <w:top w:val="single" w:sz="2" w:space="0" w:color="auto"/>
              <w:bottom w:val="single" w:sz="2" w:space="0" w:color="auto"/>
            </w:tcBorders>
            <w:shd w:val="clear" w:color="auto" w:fill="F2F2F2"/>
          </w:tcPr>
          <w:p w14:paraId="44B34AE1" w14:textId="77777777" w:rsidR="0017525B" w:rsidRPr="00181C88" w:rsidRDefault="0017525B" w:rsidP="00CA415A">
            <w:pPr>
              <w:pStyle w:val="TableText"/>
              <w:spacing w:before="60" w:after="60"/>
              <w:jc w:val="center"/>
              <w:rPr>
                <w:b/>
                <w:sz w:val="18"/>
              </w:rPr>
            </w:pPr>
            <w:r w:rsidRPr="00181C88">
              <w:rPr>
                <w:b/>
                <w:sz w:val="18"/>
              </w:rPr>
              <w:t>Incident</w:t>
            </w:r>
          </w:p>
        </w:tc>
      </w:tr>
      <w:tr w:rsidR="0017525B" w:rsidRPr="00050A5F" w14:paraId="4080D7C7"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66E41E7D"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High Potential Incident (HPI)</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5872A06A"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A high potential incident at a coal mine is an event, or a series of events, that causes or has the potential to cause a significant adverse effect on the safety or health of a person.</w:t>
            </w:r>
          </w:p>
        </w:tc>
      </w:tr>
      <w:tr w:rsidR="0017525B" w:rsidRPr="00050A5F" w14:paraId="4502F4F8"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29E2BBE5"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Business Loss</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7A4F086B"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Any health, safety, environmental or plant and equipment related unplanned occurrence resulting in loss to production (down-time); impact on company reputation or theft.</w:t>
            </w:r>
          </w:p>
        </w:tc>
      </w:tr>
      <w:tr w:rsidR="0017525B" w:rsidRPr="00050A5F" w14:paraId="2C027D68"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1D7CB0ED"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Damage</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539C3DFA"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Harm to property or equipment caused by operation, the operating environment or maintenance resulting in loss of value, impairment of usefulness or a reduction in its useful or expected life.</w:t>
            </w:r>
          </w:p>
        </w:tc>
      </w:tr>
      <w:tr w:rsidR="0017525B" w:rsidRPr="00050A5F" w14:paraId="78784E1C" w14:textId="77777777" w:rsidTr="00CA415A">
        <w:trPr>
          <w:cantSplit/>
        </w:trPr>
        <w:tc>
          <w:tcPr>
            <w:tcW w:w="1031" w:type="pct"/>
            <w:tcBorders>
              <w:top w:val="single" w:sz="2" w:space="0" w:color="auto"/>
              <w:left w:val="single" w:sz="2" w:space="0" w:color="auto"/>
              <w:bottom w:val="single" w:sz="2" w:space="0" w:color="auto"/>
              <w:right w:val="single" w:sz="2" w:space="0" w:color="auto"/>
            </w:tcBorders>
            <w:shd w:val="clear" w:color="auto" w:fill="auto"/>
          </w:tcPr>
          <w:p w14:paraId="7691D399"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Environment</w:t>
            </w:r>
          </w:p>
        </w:tc>
        <w:tc>
          <w:tcPr>
            <w:tcW w:w="3969" w:type="pct"/>
            <w:tcBorders>
              <w:top w:val="single" w:sz="2" w:space="0" w:color="auto"/>
              <w:left w:val="single" w:sz="2" w:space="0" w:color="auto"/>
              <w:bottom w:val="single" w:sz="2" w:space="0" w:color="auto"/>
              <w:right w:val="single" w:sz="2" w:space="0" w:color="auto"/>
            </w:tcBorders>
            <w:shd w:val="clear" w:color="auto" w:fill="auto"/>
          </w:tcPr>
          <w:p w14:paraId="536F8619"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Any unplanned occurrence resulting from work activities that has a detrimental impact on the environment; or reportable environmental incidents or non-conformances.</w:t>
            </w:r>
          </w:p>
        </w:tc>
      </w:tr>
      <w:tr w:rsidR="0017525B" w:rsidRPr="00050A5F" w14:paraId="6916D16A" w14:textId="77777777" w:rsidTr="00CA415A">
        <w:trPr>
          <w:cantSplit/>
        </w:trPr>
        <w:tc>
          <w:tcPr>
            <w:tcW w:w="1031" w:type="pct"/>
            <w:shd w:val="clear" w:color="auto" w:fill="auto"/>
          </w:tcPr>
          <w:p w14:paraId="3A5990FE"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Near Miss</w:t>
            </w:r>
          </w:p>
        </w:tc>
        <w:tc>
          <w:tcPr>
            <w:tcW w:w="3969" w:type="pct"/>
            <w:shd w:val="clear" w:color="auto" w:fill="auto"/>
          </w:tcPr>
          <w:p w14:paraId="191C2DD4"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An incident that did not result in an injury, illness, damage, environmental impact or process loss but under slightly different circumstances may have resulted in an actual loss.</w:t>
            </w:r>
          </w:p>
        </w:tc>
      </w:tr>
      <w:tr w:rsidR="0017525B" w:rsidRPr="00050A5F" w14:paraId="46D772DC" w14:textId="77777777" w:rsidTr="00CA415A">
        <w:trPr>
          <w:cantSplit/>
        </w:trPr>
        <w:tc>
          <w:tcPr>
            <w:tcW w:w="1031" w:type="pct"/>
            <w:shd w:val="clear" w:color="auto" w:fill="auto"/>
          </w:tcPr>
          <w:p w14:paraId="2B6CC094"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Non-Statistical</w:t>
            </w:r>
          </w:p>
        </w:tc>
        <w:tc>
          <w:tcPr>
            <w:tcW w:w="3969" w:type="pct"/>
            <w:shd w:val="clear" w:color="auto" w:fill="auto"/>
          </w:tcPr>
          <w:p w14:paraId="0624A4EB" w14:textId="77777777" w:rsidR="0017525B" w:rsidRPr="00D35BEA" w:rsidRDefault="0017525B" w:rsidP="00CA415A">
            <w:pPr>
              <w:pStyle w:val="TableText"/>
              <w:spacing w:before="60" w:after="60"/>
              <w:jc w:val="both"/>
              <w:rPr>
                <w:rFonts w:asciiTheme="minorHAnsi" w:hAnsiTheme="minorHAnsi" w:cstheme="minorHAnsi"/>
                <w:sz w:val="22"/>
                <w:szCs w:val="22"/>
                <w:lang w:val="en-AU"/>
              </w:rPr>
            </w:pPr>
            <w:r w:rsidRPr="00D35BEA">
              <w:rPr>
                <w:rFonts w:asciiTheme="minorHAnsi" w:hAnsiTheme="minorHAnsi" w:cstheme="minorHAnsi"/>
                <w:sz w:val="22"/>
                <w:szCs w:val="22"/>
                <w:lang w:val="en-AU"/>
              </w:rPr>
              <w:t>An injury that does not fall within the definition of a work-related injury, or within the definitions of FAI, MTI, RWI, LTI or Fatality or is a recurrence of an injury.</w:t>
            </w:r>
          </w:p>
        </w:tc>
      </w:tr>
      <w:tr w:rsidR="0017525B" w:rsidRPr="00050A5F" w14:paraId="02922BC0" w14:textId="77777777" w:rsidTr="00CA415A">
        <w:trPr>
          <w:cantSplit/>
          <w:trHeight w:val="352"/>
        </w:trPr>
        <w:tc>
          <w:tcPr>
            <w:tcW w:w="5000" w:type="pct"/>
            <w:gridSpan w:val="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25E3132" w14:textId="77777777" w:rsidR="0017525B" w:rsidRPr="00DF551A" w:rsidRDefault="0017525B" w:rsidP="00CA415A">
            <w:pPr>
              <w:pStyle w:val="TableText"/>
              <w:spacing w:before="60" w:after="60"/>
              <w:jc w:val="center"/>
              <w:rPr>
                <w:b/>
                <w:sz w:val="18"/>
              </w:rPr>
            </w:pPr>
            <w:r>
              <w:rPr>
                <w:b/>
                <w:sz w:val="18"/>
              </w:rPr>
              <w:t>Work/Non-Work Related</w:t>
            </w:r>
          </w:p>
        </w:tc>
      </w:tr>
      <w:tr w:rsidR="0017525B" w:rsidRPr="00050A5F" w14:paraId="293D96DA" w14:textId="77777777" w:rsidTr="00CA415A">
        <w:trPr>
          <w:cantSplit/>
          <w:trHeight w:val="508"/>
        </w:trPr>
        <w:tc>
          <w:tcPr>
            <w:tcW w:w="1031" w:type="pct"/>
            <w:shd w:val="clear" w:color="auto" w:fill="auto"/>
          </w:tcPr>
          <w:p w14:paraId="3CA51D65" w14:textId="77777777" w:rsidR="0017525B" w:rsidRDefault="0017525B" w:rsidP="00CA415A">
            <w:pPr>
              <w:pStyle w:val="TableText"/>
              <w:spacing w:before="60" w:after="60" w:line="300" w:lineRule="auto"/>
            </w:pPr>
            <w:r>
              <w:t>Work Related</w:t>
            </w:r>
          </w:p>
        </w:tc>
        <w:tc>
          <w:tcPr>
            <w:tcW w:w="3969" w:type="pct"/>
            <w:shd w:val="clear" w:color="auto" w:fill="auto"/>
          </w:tcPr>
          <w:p w14:paraId="256591D3" w14:textId="77777777" w:rsidR="0017525B" w:rsidRDefault="0017525B" w:rsidP="00CA415A">
            <w:pPr>
              <w:pStyle w:val="TableText"/>
              <w:spacing w:before="60" w:after="60"/>
              <w:contextualSpacing/>
            </w:pPr>
            <w:r>
              <w:t>If an event or exposure in the work environment either caused or contributed to an injury or illness, or significantly aggravated a pre-existing condition, then the case is considered work-related.</w:t>
            </w:r>
          </w:p>
          <w:p w14:paraId="449805DF" w14:textId="77777777" w:rsidR="0017525B" w:rsidRDefault="0017525B" w:rsidP="00CA415A">
            <w:pPr>
              <w:pStyle w:val="TableText"/>
              <w:spacing w:before="60" w:after="60"/>
              <w:contextualSpacing/>
            </w:pPr>
            <w:r>
              <w:t>Work-relatedness is presumed for injuries and illnesses resulting from events or exposures occurring at the employer’s work establishment unless an exception described above in ‘Non-work related’ specifically applies.</w:t>
            </w:r>
          </w:p>
          <w:p w14:paraId="17261B06" w14:textId="77777777" w:rsidR="0017525B" w:rsidRDefault="0017525B" w:rsidP="00CA415A">
            <w:pPr>
              <w:pStyle w:val="TableText"/>
              <w:spacing w:before="60" w:after="60"/>
              <w:contextualSpacing/>
            </w:pPr>
            <w:r>
              <w:t>Injuries and illnesses occurring away from the work establishment are considered work-related only if the worker is engaged in a work activity or is present as a condition of his or her employment.</w:t>
            </w:r>
          </w:p>
          <w:p w14:paraId="2BE774F2" w14:textId="77777777" w:rsidR="0017525B" w:rsidRDefault="0017525B" w:rsidP="00CA415A">
            <w:pPr>
              <w:pStyle w:val="TableText"/>
              <w:spacing w:before="60" w:after="60"/>
              <w:contextualSpacing/>
            </w:pPr>
            <w:r>
              <w:t>The ‘work environment’ is defined as the establishment and other locations where one or more employees are working or are present as a condition of their employment.</w:t>
            </w:r>
          </w:p>
          <w:p w14:paraId="697E317E" w14:textId="77777777" w:rsidR="0017525B" w:rsidRDefault="0017525B" w:rsidP="00CA415A">
            <w:pPr>
              <w:pStyle w:val="TableText"/>
              <w:spacing w:before="60" w:after="60"/>
              <w:contextualSpacing/>
            </w:pPr>
            <w:r w:rsidRPr="003D30E0">
              <w:t>Injuries and illnesses that occur whilst the employee is travelling are work related if at the time of the injury or illness the employee/contractor was enga</w:t>
            </w:r>
            <w:r>
              <w:t xml:space="preserve">ged in work-related activities </w:t>
            </w:r>
            <w:r w:rsidRPr="003D30E0">
              <w:t>in the interests of the employer.</w:t>
            </w:r>
          </w:p>
        </w:tc>
      </w:tr>
      <w:tr w:rsidR="0017525B" w:rsidRPr="00050A5F" w14:paraId="778B3520" w14:textId="77777777" w:rsidTr="00CA415A">
        <w:trPr>
          <w:cantSplit/>
          <w:trHeight w:val="508"/>
        </w:trPr>
        <w:tc>
          <w:tcPr>
            <w:tcW w:w="1031" w:type="pct"/>
            <w:shd w:val="clear" w:color="auto" w:fill="auto"/>
          </w:tcPr>
          <w:p w14:paraId="3AD0E823" w14:textId="77777777" w:rsidR="0017525B" w:rsidRDefault="0017525B" w:rsidP="00CA415A">
            <w:pPr>
              <w:pStyle w:val="TableText"/>
              <w:spacing w:before="60" w:after="60" w:line="300" w:lineRule="auto"/>
            </w:pPr>
            <w:r>
              <w:lastRenderedPageBreak/>
              <w:t>Non-Work Related</w:t>
            </w:r>
          </w:p>
        </w:tc>
        <w:tc>
          <w:tcPr>
            <w:tcW w:w="3969" w:type="pct"/>
            <w:shd w:val="clear" w:color="auto" w:fill="auto"/>
          </w:tcPr>
          <w:p w14:paraId="7B66505E" w14:textId="77777777" w:rsidR="0017525B" w:rsidRDefault="0017525B" w:rsidP="00CA415A">
            <w:pPr>
              <w:pStyle w:val="TableText"/>
              <w:spacing w:before="60" w:after="60"/>
              <w:contextualSpacing/>
            </w:pPr>
            <w:r w:rsidRPr="00D005C6">
              <w:t>A</w:t>
            </w:r>
            <w:r>
              <w:t xml:space="preserve">n injury or illness is not work </w:t>
            </w:r>
            <w:r w:rsidRPr="00D005C6">
              <w:t>related if</w:t>
            </w:r>
            <w:r>
              <w:t>:</w:t>
            </w:r>
          </w:p>
          <w:p w14:paraId="1F261532" w14:textId="77777777" w:rsidR="0017525B" w:rsidRDefault="0017525B" w:rsidP="004279CE">
            <w:pPr>
              <w:pStyle w:val="TableText"/>
              <w:numPr>
                <w:ilvl w:val="0"/>
                <w:numId w:val="11"/>
              </w:numPr>
              <w:tabs>
                <w:tab w:val="left" w:pos="317"/>
              </w:tabs>
              <w:spacing w:before="60" w:after="60"/>
              <w:ind w:left="317" w:hanging="284"/>
              <w:contextualSpacing/>
            </w:pPr>
            <w:r>
              <w:t>it occurred while performing tasks unrelated to work outside the work environment;</w:t>
            </w:r>
          </w:p>
          <w:p w14:paraId="1307DA23" w14:textId="77777777" w:rsidR="0017525B" w:rsidRDefault="0017525B" w:rsidP="004279CE">
            <w:pPr>
              <w:pStyle w:val="TableText"/>
              <w:numPr>
                <w:ilvl w:val="0"/>
                <w:numId w:val="11"/>
              </w:numPr>
              <w:tabs>
                <w:tab w:val="left" w:pos="317"/>
              </w:tabs>
              <w:spacing w:before="60" w:after="60"/>
              <w:ind w:left="317" w:hanging="284"/>
              <w:contextualSpacing/>
            </w:pPr>
            <w:r>
              <w:t>it occurred to a general member of the public in the work environment;</w:t>
            </w:r>
          </w:p>
          <w:p w14:paraId="2F482252" w14:textId="77777777" w:rsidR="0017525B" w:rsidRDefault="0017525B" w:rsidP="004279CE">
            <w:pPr>
              <w:pStyle w:val="TableText"/>
              <w:numPr>
                <w:ilvl w:val="0"/>
                <w:numId w:val="11"/>
              </w:numPr>
              <w:tabs>
                <w:tab w:val="left" w:pos="317"/>
              </w:tabs>
              <w:spacing w:before="60" w:after="60"/>
              <w:ind w:left="317" w:hanging="284"/>
              <w:contextualSpacing/>
            </w:pPr>
            <w:r>
              <w:t>it results from voluntary participation in wellness programs or exercise;</w:t>
            </w:r>
          </w:p>
          <w:p w14:paraId="7D5960B4" w14:textId="7E9EC100" w:rsidR="0017525B" w:rsidRDefault="0017525B" w:rsidP="004279CE">
            <w:pPr>
              <w:pStyle w:val="TableText"/>
              <w:numPr>
                <w:ilvl w:val="0"/>
                <w:numId w:val="11"/>
              </w:numPr>
              <w:tabs>
                <w:tab w:val="left" w:pos="317"/>
              </w:tabs>
              <w:spacing w:before="60" w:after="60"/>
              <w:ind w:left="317" w:hanging="284"/>
              <w:contextualSpacing/>
            </w:pPr>
            <w:r>
              <w:t>it results from preparation or consumption of food (</w:t>
            </w:r>
            <w:r w:rsidRPr="009F1818">
              <w:rPr>
                <w:i/>
              </w:rPr>
              <w:t>food supplied by</w:t>
            </w:r>
            <w:r>
              <w:rPr>
                <w:i/>
              </w:rPr>
              <w:t xml:space="preserve"> Kaius Mine,</w:t>
            </w:r>
            <w:r w:rsidRPr="009F1818">
              <w:rPr>
                <w:i/>
              </w:rPr>
              <w:t xml:space="preserve"> or food contaminated by workplace contaminants are considered workplace injuries &amp; illnesses</w:t>
            </w:r>
            <w:r>
              <w:t>)</w:t>
            </w:r>
          </w:p>
          <w:p w14:paraId="68DFCD14" w14:textId="77777777" w:rsidR="0017525B" w:rsidRDefault="0017525B" w:rsidP="004279CE">
            <w:pPr>
              <w:pStyle w:val="TableText"/>
              <w:numPr>
                <w:ilvl w:val="0"/>
                <w:numId w:val="11"/>
              </w:numPr>
              <w:tabs>
                <w:tab w:val="left" w:pos="317"/>
              </w:tabs>
              <w:spacing w:before="60" w:after="60"/>
              <w:ind w:left="317" w:hanging="284"/>
              <w:contextualSpacing/>
            </w:pPr>
            <w:r>
              <w:t>it results from personal tasks conducted at the workplace outside of work hours;</w:t>
            </w:r>
          </w:p>
          <w:p w14:paraId="6CCB637C" w14:textId="77777777" w:rsidR="0017525B" w:rsidRDefault="0017525B" w:rsidP="004279CE">
            <w:pPr>
              <w:pStyle w:val="TableText"/>
              <w:numPr>
                <w:ilvl w:val="0"/>
                <w:numId w:val="11"/>
              </w:numPr>
              <w:tabs>
                <w:tab w:val="left" w:pos="317"/>
              </w:tabs>
              <w:spacing w:before="60" w:after="60"/>
              <w:ind w:left="317" w:hanging="284"/>
              <w:contextualSpacing/>
            </w:pPr>
            <w:r>
              <w:t>it results from personal grooming or self-medication for non-work related conditions;</w:t>
            </w:r>
          </w:p>
          <w:p w14:paraId="51B4897A" w14:textId="77777777" w:rsidR="0017525B" w:rsidRDefault="0017525B" w:rsidP="004279CE">
            <w:pPr>
              <w:pStyle w:val="TableText"/>
              <w:numPr>
                <w:ilvl w:val="0"/>
                <w:numId w:val="11"/>
              </w:numPr>
              <w:tabs>
                <w:tab w:val="left" w:pos="317"/>
              </w:tabs>
              <w:spacing w:before="60" w:after="60"/>
              <w:ind w:left="317" w:hanging="284"/>
              <w:contextualSpacing/>
            </w:pPr>
            <w:r>
              <w:t>it is a mental illness (</w:t>
            </w:r>
            <w:r w:rsidRPr="009F1818">
              <w:rPr>
                <w:i/>
              </w:rPr>
              <w:t>a suitably qualified physician may find that the mental illness is work-related</w:t>
            </w:r>
            <w:r>
              <w:t>);</w:t>
            </w:r>
          </w:p>
          <w:p w14:paraId="160AE9DC" w14:textId="77777777" w:rsidR="0017525B" w:rsidRDefault="0017525B" w:rsidP="004279CE">
            <w:pPr>
              <w:pStyle w:val="TableText"/>
              <w:numPr>
                <w:ilvl w:val="0"/>
                <w:numId w:val="11"/>
              </w:numPr>
              <w:tabs>
                <w:tab w:val="left" w:pos="317"/>
              </w:tabs>
              <w:spacing w:before="60" w:after="60"/>
              <w:ind w:left="317" w:hanging="284"/>
              <w:contextualSpacing/>
            </w:pPr>
            <w:r w:rsidRPr="00D005C6">
              <w:t>it involves signs or symptoms that surface at work but result solely from a non</w:t>
            </w:r>
            <w:r>
              <w:t xml:space="preserve">-work </w:t>
            </w:r>
            <w:r w:rsidRPr="00D005C6">
              <w:t>related event or exposure that occurs outside</w:t>
            </w:r>
            <w:r>
              <w:t xml:space="preserve"> </w:t>
            </w:r>
            <w:r w:rsidRPr="00D005C6">
              <w:t>the work environment</w:t>
            </w:r>
            <w:r>
              <w:t>; or,</w:t>
            </w:r>
          </w:p>
          <w:p w14:paraId="3BBA5CE9" w14:textId="77777777" w:rsidR="0017525B" w:rsidRDefault="0017525B" w:rsidP="00CA415A">
            <w:pPr>
              <w:pStyle w:val="TableText"/>
              <w:spacing w:before="60" w:after="60" w:line="300" w:lineRule="auto"/>
            </w:pPr>
            <w:r>
              <w:t>it involves common illnesses not related to work (</w:t>
            </w:r>
            <w:r w:rsidRPr="009F1818">
              <w:rPr>
                <w:i/>
              </w:rPr>
              <w:t>dangerous illnesses such as malaria, tuberculosis or hepatitis A are considered work-related if contracted at work</w:t>
            </w:r>
            <w:r>
              <w:t>).</w:t>
            </w:r>
          </w:p>
        </w:tc>
      </w:tr>
    </w:tbl>
    <w:p w14:paraId="32820EB4" w14:textId="77777777" w:rsidR="0017525B" w:rsidRPr="00325979" w:rsidRDefault="0017525B" w:rsidP="00325979">
      <w:pPr>
        <w:keepNext/>
        <w:numPr>
          <w:ilvl w:val="2"/>
          <w:numId w:val="4"/>
        </w:numPr>
        <w:tabs>
          <w:tab w:val="left" w:pos="1134"/>
        </w:tabs>
        <w:spacing w:before="240" w:after="60"/>
        <w:jc w:val="left"/>
        <w:outlineLvl w:val="2"/>
        <w:rPr>
          <w:rFonts w:cs="Arial"/>
          <w:b/>
          <w:bCs/>
          <w:szCs w:val="22"/>
          <w:lang w:eastAsia="x-none"/>
        </w:rPr>
      </w:pPr>
      <w:bookmarkStart w:id="29" w:name="_Toc536616907"/>
      <w:bookmarkStart w:id="30" w:name="_Toc10737598"/>
      <w:bookmarkStart w:id="31" w:name="_Toc536616905"/>
      <w:bookmarkStart w:id="32" w:name="_Toc10737596"/>
      <w:bookmarkStart w:id="33" w:name="_Toc33890098"/>
      <w:r w:rsidRPr="00325979">
        <w:rPr>
          <w:rFonts w:cs="Arial"/>
          <w:b/>
          <w:bCs/>
          <w:szCs w:val="22"/>
          <w:lang w:eastAsia="x-none"/>
        </w:rPr>
        <w:t>Step 3: Incident Notification</w:t>
      </w:r>
      <w:bookmarkEnd w:id="31"/>
      <w:bookmarkEnd w:id="32"/>
      <w:bookmarkEnd w:id="33"/>
    </w:p>
    <w:p w14:paraId="427ACF74" w14:textId="7A40CD99" w:rsidR="0017525B" w:rsidRDefault="0017525B" w:rsidP="0017525B">
      <w:pPr>
        <w:spacing w:before="120" w:after="120"/>
        <w:ind w:left="567"/>
        <w:rPr>
          <w:lang w:eastAsia="x-none"/>
        </w:rPr>
      </w:pPr>
      <w:r>
        <w:rPr>
          <w:lang w:eastAsia="x-none"/>
        </w:rPr>
        <w:t xml:space="preserve">Notification of </w:t>
      </w:r>
      <w:r w:rsidRPr="00BF61F5">
        <w:rPr>
          <w:lang w:eastAsia="x-none"/>
        </w:rPr>
        <w:t xml:space="preserve">an incident is </w:t>
      </w:r>
      <w:r>
        <w:rPr>
          <w:lang w:eastAsia="x-none"/>
        </w:rPr>
        <w:t xml:space="preserve">to be </w:t>
      </w:r>
      <w:r w:rsidRPr="00BF61F5">
        <w:rPr>
          <w:lang w:eastAsia="x-none"/>
        </w:rPr>
        <w:t xml:space="preserve">reported </w:t>
      </w:r>
      <w:r>
        <w:rPr>
          <w:lang w:eastAsia="x-none"/>
        </w:rPr>
        <w:t>to Kaius Mine stakeholders, Kaius Resources</w:t>
      </w:r>
      <w:r w:rsidRPr="00BF61F5">
        <w:rPr>
          <w:lang w:eastAsia="x-none"/>
        </w:rPr>
        <w:t xml:space="preserve"> and external parties (</w:t>
      </w:r>
      <w:proofErr w:type="gramStart"/>
      <w:r w:rsidRPr="00BF61F5">
        <w:rPr>
          <w:lang w:eastAsia="x-none"/>
        </w:rPr>
        <w:t>e.g.</w:t>
      </w:r>
      <w:proofErr w:type="gramEnd"/>
      <w:r w:rsidRPr="00BF61F5">
        <w:rPr>
          <w:lang w:eastAsia="x-none"/>
        </w:rPr>
        <w:t xml:space="preserve"> DNRM</w:t>
      </w:r>
      <w:r>
        <w:rPr>
          <w:lang w:eastAsia="x-none"/>
        </w:rPr>
        <w:t>E</w:t>
      </w:r>
      <w:r w:rsidRPr="00BF61F5">
        <w:rPr>
          <w:lang w:eastAsia="x-none"/>
        </w:rPr>
        <w:t xml:space="preserve">, DES) in a timely manner and in accordance with </w:t>
      </w:r>
      <w:r>
        <w:rPr>
          <w:lang w:eastAsia="x-none"/>
        </w:rPr>
        <w:t xml:space="preserve">the severity of the incident and </w:t>
      </w:r>
      <w:r w:rsidRPr="00BF61F5">
        <w:rPr>
          <w:lang w:eastAsia="x-none"/>
        </w:rPr>
        <w:t xml:space="preserve">relevant legislation, standards and procedures. </w:t>
      </w:r>
    </w:p>
    <w:p w14:paraId="7C757A97" w14:textId="77777777" w:rsidR="0017525B" w:rsidRPr="00BF61F5" w:rsidRDefault="0017525B" w:rsidP="0017525B">
      <w:pPr>
        <w:keepNext/>
        <w:numPr>
          <w:ilvl w:val="3"/>
          <w:numId w:val="4"/>
        </w:numPr>
        <w:tabs>
          <w:tab w:val="left" w:pos="1418"/>
        </w:tabs>
        <w:spacing w:before="240" w:after="60"/>
        <w:jc w:val="left"/>
        <w:outlineLvl w:val="3"/>
        <w:rPr>
          <w:rFonts w:cs="Arial"/>
          <w:b/>
          <w:szCs w:val="22"/>
          <w:lang w:val="en-US" w:eastAsia="x-none"/>
        </w:rPr>
      </w:pPr>
      <w:r w:rsidRPr="00BF61F5">
        <w:rPr>
          <w:rFonts w:cs="Arial"/>
          <w:b/>
          <w:szCs w:val="22"/>
          <w:lang w:val="en-US" w:eastAsia="x-none"/>
        </w:rPr>
        <w:t xml:space="preserve">Table </w:t>
      </w:r>
      <w:r>
        <w:rPr>
          <w:rFonts w:cs="Arial"/>
          <w:b/>
          <w:szCs w:val="22"/>
          <w:lang w:val="en-US" w:eastAsia="x-none"/>
        </w:rPr>
        <w:t>3:</w:t>
      </w:r>
      <w:r w:rsidRPr="00BF61F5">
        <w:rPr>
          <w:rFonts w:cs="Arial"/>
          <w:b/>
          <w:szCs w:val="22"/>
          <w:lang w:val="en-US" w:eastAsia="x-none"/>
        </w:rPr>
        <w:t xml:space="preserve"> Minimum Notifications and Reporting Requirements</w:t>
      </w:r>
    </w:p>
    <w:p w14:paraId="41ECF0CF" w14:textId="77777777" w:rsidR="0017525B" w:rsidRDefault="0017525B" w:rsidP="0017525B">
      <w:pPr>
        <w:spacing w:before="120" w:after="120"/>
        <w:ind w:left="567"/>
        <w:rPr>
          <w:lang w:val="en-US" w:eastAsia="x-none"/>
        </w:rPr>
      </w:pPr>
      <w:r w:rsidRPr="00BF61F5">
        <w:rPr>
          <w:b/>
          <w:lang w:val="en-US" w:eastAsia="x-none"/>
        </w:rPr>
        <w:t xml:space="preserve">Note: </w:t>
      </w:r>
      <w:r>
        <w:rPr>
          <w:lang w:val="en-US" w:eastAsia="x-none"/>
        </w:rPr>
        <w:t>Initial Notification is not a Report</w:t>
      </w:r>
    </w:p>
    <w:p w14:paraId="39DF1C14" w14:textId="77777777" w:rsidR="0017525B" w:rsidRDefault="0017525B" w:rsidP="0017525B">
      <w:pPr>
        <w:spacing w:before="120" w:after="120"/>
        <w:ind w:left="567"/>
        <w:rPr>
          <w:lang w:val="en-US" w:eastAsia="x-none"/>
        </w:rPr>
      </w:pPr>
    </w:p>
    <w:p w14:paraId="3F44EDCD" w14:textId="77777777" w:rsidR="0017525B" w:rsidRDefault="0017525B" w:rsidP="0017525B">
      <w:pPr>
        <w:spacing w:before="120" w:after="120"/>
        <w:ind w:left="567"/>
        <w:rPr>
          <w:lang w:val="en-US" w:eastAsia="x-none"/>
        </w:rPr>
      </w:pPr>
    </w:p>
    <w:tbl>
      <w:tblPr>
        <w:tblW w:w="4740" w:type="pct"/>
        <w:tblInd w:w="5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52"/>
        <w:gridCol w:w="3765"/>
        <w:gridCol w:w="4173"/>
      </w:tblGrid>
      <w:tr w:rsidR="0017525B" w:rsidRPr="00BF61F5" w14:paraId="3835B2FC" w14:textId="77777777" w:rsidTr="00CA415A">
        <w:trPr>
          <w:cantSplit/>
          <w:trHeight w:val="340"/>
        </w:trPr>
        <w:tc>
          <w:tcPr>
            <w:tcW w:w="773" w:type="pct"/>
            <w:tcBorders>
              <w:top w:val="single" w:sz="4" w:space="0" w:color="auto"/>
              <w:bottom w:val="single" w:sz="4" w:space="0" w:color="auto"/>
            </w:tcBorders>
            <w:shd w:val="clear" w:color="auto" w:fill="F2F2F2"/>
          </w:tcPr>
          <w:p w14:paraId="5263B6B3" w14:textId="77777777" w:rsidR="0017525B" w:rsidRPr="00BF61F5" w:rsidRDefault="0017525B" w:rsidP="00CA415A">
            <w:pPr>
              <w:spacing w:before="40" w:after="40"/>
              <w:rPr>
                <w:sz w:val="20"/>
                <w:szCs w:val="20"/>
              </w:rPr>
            </w:pPr>
            <w:r w:rsidRPr="00BF61F5">
              <w:rPr>
                <w:sz w:val="20"/>
                <w:szCs w:val="20"/>
              </w:rPr>
              <w:t>Consequence</w:t>
            </w:r>
          </w:p>
        </w:tc>
        <w:tc>
          <w:tcPr>
            <w:tcW w:w="2005" w:type="pct"/>
            <w:tcBorders>
              <w:top w:val="single" w:sz="4" w:space="0" w:color="auto"/>
              <w:bottom w:val="single" w:sz="4" w:space="0" w:color="auto"/>
            </w:tcBorders>
            <w:shd w:val="clear" w:color="auto" w:fill="F2F2F2"/>
          </w:tcPr>
          <w:p w14:paraId="5664DA13" w14:textId="77777777" w:rsidR="0017525B" w:rsidRPr="00BF61F5" w:rsidRDefault="0017525B" w:rsidP="00CA415A">
            <w:pPr>
              <w:spacing w:before="40" w:after="40"/>
              <w:rPr>
                <w:sz w:val="20"/>
                <w:szCs w:val="20"/>
              </w:rPr>
            </w:pPr>
            <w:r w:rsidRPr="00BF61F5">
              <w:rPr>
                <w:sz w:val="20"/>
                <w:szCs w:val="20"/>
              </w:rPr>
              <w:t>Notification (Potential Consequence)</w:t>
            </w:r>
          </w:p>
        </w:tc>
        <w:tc>
          <w:tcPr>
            <w:tcW w:w="2222" w:type="pct"/>
            <w:tcBorders>
              <w:top w:val="single" w:sz="4" w:space="0" w:color="auto"/>
              <w:bottom w:val="single" w:sz="4" w:space="0" w:color="auto"/>
            </w:tcBorders>
            <w:shd w:val="clear" w:color="auto" w:fill="F2F2F2"/>
          </w:tcPr>
          <w:p w14:paraId="760EFE10" w14:textId="77777777" w:rsidR="0017525B" w:rsidRPr="00BF61F5" w:rsidRDefault="0017525B" w:rsidP="00CA415A">
            <w:pPr>
              <w:spacing w:before="40" w:after="40"/>
              <w:rPr>
                <w:sz w:val="20"/>
                <w:szCs w:val="20"/>
              </w:rPr>
            </w:pPr>
            <w:r w:rsidRPr="00BF61F5">
              <w:rPr>
                <w:sz w:val="20"/>
                <w:szCs w:val="20"/>
              </w:rPr>
              <w:t>Notification (Actual Consequence)</w:t>
            </w:r>
          </w:p>
        </w:tc>
      </w:tr>
      <w:tr w:rsidR="0017525B" w:rsidRPr="00BF61F5" w14:paraId="3CCD25D0" w14:textId="77777777" w:rsidTr="00CA415A">
        <w:trPr>
          <w:cantSplit/>
          <w:trHeight w:val="288"/>
        </w:trPr>
        <w:tc>
          <w:tcPr>
            <w:tcW w:w="773" w:type="pct"/>
            <w:tcBorders>
              <w:top w:val="single" w:sz="4" w:space="0" w:color="auto"/>
              <w:bottom w:val="single" w:sz="4" w:space="0" w:color="auto"/>
            </w:tcBorders>
            <w:shd w:val="clear" w:color="auto" w:fill="auto"/>
            <w:vAlign w:val="center"/>
          </w:tcPr>
          <w:p w14:paraId="7F203B18"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All Reportable Incidents or Non-Conformances</w:t>
            </w:r>
            <w:r>
              <w:rPr>
                <w:sz w:val="16"/>
                <w:szCs w:val="20"/>
                <w:lang w:val="en-GB"/>
              </w:rPr>
              <w:t xml:space="preserve"> including Environmental Incidents</w:t>
            </w:r>
          </w:p>
        </w:tc>
        <w:tc>
          <w:tcPr>
            <w:tcW w:w="4227" w:type="pct"/>
            <w:gridSpan w:val="2"/>
            <w:tcBorders>
              <w:top w:val="single" w:sz="4" w:space="0" w:color="auto"/>
              <w:bottom w:val="single" w:sz="4" w:space="0" w:color="auto"/>
            </w:tcBorders>
            <w:shd w:val="clear" w:color="auto" w:fill="auto"/>
          </w:tcPr>
          <w:p w14:paraId="128807D9" w14:textId="77777777" w:rsidR="0017525B" w:rsidRPr="00BF61F5" w:rsidRDefault="0017525B" w:rsidP="00CA415A">
            <w:pPr>
              <w:spacing w:before="40" w:after="40"/>
              <w:jc w:val="center"/>
              <w:rPr>
                <w:sz w:val="16"/>
                <w:szCs w:val="16"/>
                <w:lang w:val="en-GB" w:eastAsia="en-US"/>
              </w:rPr>
            </w:pPr>
            <w:r w:rsidRPr="00BF61F5">
              <w:rPr>
                <w:sz w:val="16"/>
                <w:szCs w:val="20"/>
                <w:lang w:val="en-GB" w:eastAsia="en-US"/>
              </w:rPr>
              <w:t>Site Senior Executive</w:t>
            </w:r>
          </w:p>
          <w:p w14:paraId="07A1DAB0" w14:textId="08ED2E9B" w:rsidR="0017525B" w:rsidRDefault="0017525B" w:rsidP="00CA415A">
            <w:pPr>
              <w:spacing w:before="40" w:after="40"/>
              <w:jc w:val="center"/>
              <w:rPr>
                <w:sz w:val="16"/>
                <w:szCs w:val="20"/>
                <w:lang w:val="en-GB" w:eastAsia="en-US"/>
              </w:rPr>
            </w:pPr>
            <w:r>
              <w:rPr>
                <w:sz w:val="16"/>
                <w:szCs w:val="20"/>
                <w:lang w:val="en-GB" w:eastAsia="en-US"/>
              </w:rPr>
              <w:t>Kaius Resources</w:t>
            </w:r>
          </w:p>
          <w:p w14:paraId="674F5705" w14:textId="77777777" w:rsidR="0017525B" w:rsidRDefault="0017525B" w:rsidP="00CA415A">
            <w:pPr>
              <w:spacing w:before="40" w:after="40"/>
              <w:jc w:val="center"/>
              <w:rPr>
                <w:sz w:val="16"/>
                <w:szCs w:val="16"/>
                <w:lang w:val="en-GB" w:eastAsia="en-US"/>
              </w:rPr>
            </w:pPr>
            <w:r w:rsidRPr="00BF61F5">
              <w:rPr>
                <w:sz w:val="16"/>
                <w:szCs w:val="16"/>
                <w:lang w:val="en-GB" w:eastAsia="en-US"/>
              </w:rPr>
              <w:t>Legal Department</w:t>
            </w:r>
          </w:p>
          <w:p w14:paraId="69CA46C9" w14:textId="77777777" w:rsidR="0017525B" w:rsidRPr="00BF61F5" w:rsidRDefault="0017525B" w:rsidP="00CA415A">
            <w:pPr>
              <w:spacing w:before="40" w:after="40"/>
              <w:jc w:val="center"/>
              <w:rPr>
                <w:sz w:val="16"/>
                <w:szCs w:val="16"/>
                <w:lang w:val="en-GB" w:eastAsia="en-US"/>
              </w:rPr>
            </w:pPr>
            <w:r>
              <w:rPr>
                <w:sz w:val="16"/>
                <w:szCs w:val="16"/>
                <w:lang w:val="en-GB" w:eastAsia="en-US"/>
              </w:rPr>
              <w:t>Relevant Dept Manager</w:t>
            </w:r>
          </w:p>
          <w:p w14:paraId="100A8369" w14:textId="77777777" w:rsidR="0017525B" w:rsidRPr="00BF61F5" w:rsidRDefault="0017525B" w:rsidP="00CA415A">
            <w:pPr>
              <w:spacing w:before="40" w:after="40"/>
              <w:jc w:val="center"/>
              <w:rPr>
                <w:sz w:val="16"/>
                <w:szCs w:val="20"/>
                <w:lang w:val="en-GB" w:eastAsia="en-US"/>
              </w:rPr>
            </w:pPr>
            <w:r w:rsidRPr="00BF61F5">
              <w:rPr>
                <w:sz w:val="16"/>
                <w:szCs w:val="20"/>
                <w:lang w:val="en-GB" w:eastAsia="en-US"/>
              </w:rPr>
              <w:t>HST Superintendent</w:t>
            </w:r>
          </w:p>
          <w:p w14:paraId="7E600651" w14:textId="77777777" w:rsidR="0017525B" w:rsidRDefault="0017525B" w:rsidP="00CA415A">
            <w:pPr>
              <w:spacing w:before="40" w:after="40"/>
              <w:jc w:val="center"/>
              <w:rPr>
                <w:sz w:val="16"/>
                <w:szCs w:val="20"/>
                <w:lang w:val="en-GB" w:eastAsia="en-US"/>
              </w:rPr>
            </w:pPr>
            <w:r>
              <w:rPr>
                <w:sz w:val="16"/>
                <w:szCs w:val="20"/>
                <w:lang w:val="en-GB" w:eastAsia="en-US"/>
              </w:rPr>
              <w:t>Relevant legislative authority (DNRME DES etc.)</w:t>
            </w:r>
          </w:p>
          <w:p w14:paraId="44DF53F3" w14:textId="77777777" w:rsidR="0017525B" w:rsidRDefault="0017525B" w:rsidP="00CA415A">
            <w:pPr>
              <w:spacing w:before="40" w:after="40"/>
              <w:jc w:val="center"/>
              <w:rPr>
                <w:sz w:val="16"/>
                <w:szCs w:val="20"/>
                <w:lang w:val="en-GB" w:eastAsia="en-US"/>
              </w:rPr>
            </w:pPr>
          </w:p>
          <w:p w14:paraId="46A47B4D" w14:textId="77777777" w:rsidR="0017525B" w:rsidRPr="00BF61F5" w:rsidRDefault="0017525B" w:rsidP="00CA415A">
            <w:pPr>
              <w:spacing w:before="40" w:after="40"/>
              <w:jc w:val="center"/>
              <w:rPr>
                <w:sz w:val="16"/>
                <w:szCs w:val="16"/>
                <w:lang w:val="en-GB" w:eastAsia="en-US"/>
              </w:rPr>
            </w:pPr>
            <w:r w:rsidRPr="00BF61F5">
              <w:rPr>
                <w:sz w:val="16"/>
                <w:szCs w:val="20"/>
                <w:lang w:val="en-GB" w:eastAsia="en-US"/>
              </w:rPr>
              <w:t>Verbal – Immediate</w:t>
            </w:r>
          </w:p>
          <w:p w14:paraId="2F1B13A3" w14:textId="77777777" w:rsidR="0017525B" w:rsidRPr="00BF61F5" w:rsidRDefault="0017525B" w:rsidP="00CA415A">
            <w:pPr>
              <w:spacing w:before="40" w:after="40"/>
              <w:jc w:val="center"/>
              <w:rPr>
                <w:sz w:val="16"/>
                <w:szCs w:val="16"/>
                <w:lang w:val="en-GB" w:eastAsia="en-US"/>
              </w:rPr>
            </w:pPr>
            <w:r w:rsidRPr="00BF61F5">
              <w:rPr>
                <w:sz w:val="16"/>
                <w:szCs w:val="20"/>
                <w:lang w:val="en-GB" w:eastAsia="en-US"/>
              </w:rPr>
              <w:t>Written – Within 24 hours</w:t>
            </w:r>
          </w:p>
        </w:tc>
      </w:tr>
      <w:tr w:rsidR="0017525B" w:rsidRPr="00BF61F5" w14:paraId="275AC930" w14:textId="77777777" w:rsidTr="00CA415A">
        <w:trPr>
          <w:cantSplit/>
          <w:trHeight w:val="288"/>
        </w:trPr>
        <w:tc>
          <w:tcPr>
            <w:tcW w:w="773" w:type="pct"/>
            <w:tcBorders>
              <w:top w:val="single" w:sz="4" w:space="0" w:color="auto"/>
              <w:bottom w:val="single" w:sz="4" w:space="0" w:color="auto"/>
            </w:tcBorders>
            <w:shd w:val="clear" w:color="auto" w:fill="auto"/>
            <w:vAlign w:val="center"/>
          </w:tcPr>
          <w:p w14:paraId="25306EFC"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Critical</w:t>
            </w:r>
          </w:p>
        </w:tc>
        <w:tc>
          <w:tcPr>
            <w:tcW w:w="2005" w:type="pct"/>
            <w:tcBorders>
              <w:top w:val="single" w:sz="4" w:space="0" w:color="auto"/>
              <w:bottom w:val="single" w:sz="4" w:space="0" w:color="auto"/>
            </w:tcBorders>
            <w:shd w:val="clear" w:color="auto" w:fill="auto"/>
          </w:tcPr>
          <w:p w14:paraId="4E1E8BE4"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04E99B93" w14:textId="3DEDECAA" w:rsidR="0017525B" w:rsidRDefault="0017525B" w:rsidP="00CA415A">
            <w:pPr>
              <w:spacing w:before="40" w:after="40"/>
              <w:jc w:val="left"/>
              <w:rPr>
                <w:sz w:val="16"/>
                <w:szCs w:val="20"/>
                <w:lang w:val="en-GB" w:eastAsia="en-US"/>
              </w:rPr>
            </w:pPr>
            <w:r>
              <w:rPr>
                <w:sz w:val="16"/>
                <w:szCs w:val="20"/>
                <w:lang w:val="en-GB" w:eastAsia="en-US"/>
              </w:rPr>
              <w:t>Kaius Resources</w:t>
            </w:r>
          </w:p>
          <w:p w14:paraId="1101FF8B"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14B52043"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03A356A0" w14:textId="77777777" w:rsidR="0017525B" w:rsidRDefault="0017525B" w:rsidP="00CA415A">
            <w:pPr>
              <w:spacing w:before="40" w:after="40"/>
              <w:jc w:val="left"/>
              <w:rPr>
                <w:sz w:val="16"/>
                <w:szCs w:val="20"/>
                <w:lang w:val="en-GB" w:eastAsia="en-US"/>
              </w:rPr>
            </w:pPr>
            <w:r>
              <w:rPr>
                <w:sz w:val="16"/>
                <w:szCs w:val="20"/>
                <w:lang w:val="en-GB" w:eastAsia="en-US"/>
              </w:rPr>
              <w:t>Relevant legislative authority (DNRME DES etc.)</w:t>
            </w:r>
          </w:p>
          <w:p w14:paraId="2C3EF904" w14:textId="77777777" w:rsidR="0017525B" w:rsidRDefault="0017525B" w:rsidP="00CA415A">
            <w:pPr>
              <w:spacing w:before="40" w:after="40"/>
              <w:jc w:val="left"/>
              <w:rPr>
                <w:sz w:val="16"/>
                <w:szCs w:val="20"/>
                <w:lang w:val="en-GB" w:eastAsia="en-US"/>
              </w:rPr>
            </w:pPr>
          </w:p>
          <w:p w14:paraId="06E3CD79"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Verbal – Immediate</w:t>
            </w:r>
          </w:p>
          <w:p w14:paraId="6C4E4537"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Written – Within 24 hours</w:t>
            </w:r>
          </w:p>
        </w:tc>
        <w:tc>
          <w:tcPr>
            <w:tcW w:w="2222" w:type="pct"/>
            <w:tcBorders>
              <w:top w:val="single" w:sz="4" w:space="0" w:color="auto"/>
              <w:bottom w:val="single" w:sz="4" w:space="0" w:color="auto"/>
            </w:tcBorders>
            <w:shd w:val="clear" w:color="auto" w:fill="auto"/>
          </w:tcPr>
          <w:p w14:paraId="11C239E8"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6334348C" w14:textId="00C2F0E9" w:rsidR="0017525B" w:rsidRDefault="0017525B" w:rsidP="00CA415A">
            <w:pPr>
              <w:spacing w:before="40" w:after="40"/>
              <w:jc w:val="left"/>
              <w:rPr>
                <w:sz w:val="16"/>
                <w:szCs w:val="20"/>
                <w:lang w:val="en-GB" w:eastAsia="en-US"/>
              </w:rPr>
            </w:pPr>
            <w:r>
              <w:rPr>
                <w:sz w:val="16"/>
                <w:szCs w:val="20"/>
                <w:lang w:val="en-GB" w:eastAsia="en-US"/>
              </w:rPr>
              <w:t>Kaius Resources</w:t>
            </w:r>
          </w:p>
          <w:p w14:paraId="64D0D2B2" w14:textId="77777777" w:rsidR="0017525B" w:rsidRDefault="0017525B" w:rsidP="00CA415A">
            <w:pPr>
              <w:spacing w:before="40" w:after="40"/>
              <w:jc w:val="left"/>
              <w:rPr>
                <w:sz w:val="16"/>
                <w:szCs w:val="16"/>
                <w:lang w:val="en-GB" w:eastAsia="en-US"/>
              </w:rPr>
            </w:pPr>
            <w:r w:rsidRPr="00BF61F5">
              <w:rPr>
                <w:sz w:val="16"/>
                <w:szCs w:val="16"/>
                <w:lang w:val="en-GB" w:eastAsia="en-US"/>
              </w:rPr>
              <w:t>Legal Department</w:t>
            </w:r>
          </w:p>
          <w:p w14:paraId="3A2FEFD3"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5C10407A"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76866574" w14:textId="77777777" w:rsidR="0017525B" w:rsidRDefault="0017525B" w:rsidP="00CA415A">
            <w:pPr>
              <w:spacing w:before="40" w:after="40"/>
              <w:jc w:val="left"/>
              <w:rPr>
                <w:sz w:val="16"/>
                <w:szCs w:val="20"/>
                <w:lang w:val="en-GB" w:eastAsia="en-US"/>
              </w:rPr>
            </w:pPr>
            <w:r>
              <w:rPr>
                <w:sz w:val="16"/>
                <w:szCs w:val="20"/>
                <w:lang w:val="en-GB" w:eastAsia="en-US"/>
              </w:rPr>
              <w:t>Relevant legislative authority (DNRME DES etc.)</w:t>
            </w:r>
          </w:p>
          <w:p w14:paraId="1CEF0AE1" w14:textId="77777777" w:rsidR="0017525B" w:rsidRDefault="0017525B" w:rsidP="00CA415A">
            <w:pPr>
              <w:spacing w:before="40" w:after="40"/>
              <w:jc w:val="left"/>
              <w:rPr>
                <w:sz w:val="16"/>
                <w:szCs w:val="20"/>
                <w:lang w:val="en-GB" w:eastAsia="en-US"/>
              </w:rPr>
            </w:pPr>
          </w:p>
          <w:p w14:paraId="19811768"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Verbal – Immediate</w:t>
            </w:r>
          </w:p>
          <w:p w14:paraId="086BB711"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Written – Within 24 hours</w:t>
            </w:r>
          </w:p>
        </w:tc>
      </w:tr>
      <w:tr w:rsidR="0017525B" w:rsidRPr="00BF61F5" w14:paraId="0BF26F94" w14:textId="77777777" w:rsidTr="00CA415A">
        <w:trPr>
          <w:cantSplit/>
          <w:trHeight w:val="279"/>
        </w:trPr>
        <w:tc>
          <w:tcPr>
            <w:tcW w:w="773" w:type="pct"/>
            <w:tcBorders>
              <w:top w:val="single" w:sz="4" w:space="0" w:color="auto"/>
              <w:bottom w:val="single" w:sz="4" w:space="0" w:color="auto"/>
            </w:tcBorders>
            <w:shd w:val="clear" w:color="auto" w:fill="auto"/>
            <w:vAlign w:val="center"/>
          </w:tcPr>
          <w:p w14:paraId="60E51140"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t>Major</w:t>
            </w:r>
          </w:p>
        </w:tc>
        <w:tc>
          <w:tcPr>
            <w:tcW w:w="2005" w:type="pct"/>
            <w:tcBorders>
              <w:top w:val="single" w:sz="4" w:space="0" w:color="auto"/>
              <w:bottom w:val="single" w:sz="4" w:space="0" w:color="auto"/>
            </w:tcBorders>
            <w:shd w:val="clear" w:color="auto" w:fill="auto"/>
          </w:tcPr>
          <w:p w14:paraId="4ED3A3C8"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283F2033" w14:textId="1DE5B168" w:rsidR="0017525B" w:rsidRDefault="0017525B" w:rsidP="00CA415A">
            <w:pPr>
              <w:spacing w:before="40" w:after="40"/>
              <w:jc w:val="left"/>
              <w:rPr>
                <w:sz w:val="16"/>
                <w:szCs w:val="20"/>
                <w:lang w:val="en-GB" w:eastAsia="en-US"/>
              </w:rPr>
            </w:pPr>
            <w:r>
              <w:rPr>
                <w:sz w:val="16"/>
                <w:szCs w:val="20"/>
                <w:lang w:val="en-GB" w:eastAsia="en-US"/>
              </w:rPr>
              <w:t>Kaius Resources</w:t>
            </w:r>
          </w:p>
          <w:p w14:paraId="18C317A0"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0F6E1977"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0DD39086" w14:textId="77777777" w:rsidR="0017525B" w:rsidRDefault="0017525B" w:rsidP="00CA415A">
            <w:pPr>
              <w:spacing w:before="40" w:after="40"/>
              <w:jc w:val="left"/>
              <w:rPr>
                <w:sz w:val="16"/>
                <w:szCs w:val="20"/>
                <w:lang w:val="en-GB" w:eastAsia="en-US"/>
              </w:rPr>
            </w:pPr>
            <w:r>
              <w:rPr>
                <w:sz w:val="16"/>
                <w:szCs w:val="20"/>
                <w:lang w:val="en-GB" w:eastAsia="en-US"/>
              </w:rPr>
              <w:t>Relevant legislative authority (DNRME DES etc.)</w:t>
            </w:r>
          </w:p>
          <w:p w14:paraId="085C1131" w14:textId="77777777" w:rsidR="0017525B" w:rsidRDefault="0017525B" w:rsidP="00CA415A">
            <w:pPr>
              <w:spacing w:before="40" w:after="40"/>
              <w:jc w:val="left"/>
              <w:rPr>
                <w:sz w:val="16"/>
                <w:szCs w:val="20"/>
                <w:lang w:val="en-GB" w:eastAsia="en-US"/>
              </w:rPr>
            </w:pPr>
          </w:p>
          <w:p w14:paraId="4F0C343B"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Verbal – Immediate</w:t>
            </w:r>
          </w:p>
          <w:p w14:paraId="223C9473" w14:textId="77777777" w:rsidR="0017525B" w:rsidRPr="00BF61F5" w:rsidRDefault="0017525B" w:rsidP="00CA415A">
            <w:pPr>
              <w:spacing w:before="40" w:after="40"/>
              <w:rPr>
                <w:sz w:val="16"/>
                <w:szCs w:val="16"/>
              </w:rPr>
            </w:pPr>
            <w:r w:rsidRPr="00BF61F5">
              <w:rPr>
                <w:sz w:val="16"/>
                <w:szCs w:val="20"/>
                <w:lang w:val="en-GB" w:eastAsia="en-US"/>
              </w:rPr>
              <w:t>Written – Within 24 hours</w:t>
            </w:r>
          </w:p>
        </w:tc>
        <w:tc>
          <w:tcPr>
            <w:tcW w:w="2222" w:type="pct"/>
            <w:tcBorders>
              <w:top w:val="single" w:sz="4" w:space="0" w:color="auto"/>
              <w:bottom w:val="single" w:sz="4" w:space="0" w:color="auto"/>
            </w:tcBorders>
            <w:shd w:val="clear" w:color="auto" w:fill="auto"/>
          </w:tcPr>
          <w:p w14:paraId="0917D187"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71CDE209" w14:textId="468DED3D" w:rsidR="0017525B" w:rsidRDefault="0017525B" w:rsidP="00CA415A">
            <w:pPr>
              <w:spacing w:before="40" w:after="40"/>
              <w:jc w:val="left"/>
              <w:rPr>
                <w:sz w:val="16"/>
                <w:szCs w:val="20"/>
                <w:lang w:val="en-GB" w:eastAsia="en-US"/>
              </w:rPr>
            </w:pPr>
            <w:r>
              <w:rPr>
                <w:sz w:val="16"/>
                <w:szCs w:val="20"/>
                <w:lang w:val="en-GB" w:eastAsia="en-US"/>
              </w:rPr>
              <w:t>Kaius Resources</w:t>
            </w:r>
          </w:p>
          <w:p w14:paraId="026563BE" w14:textId="77777777" w:rsidR="0017525B" w:rsidRDefault="0017525B" w:rsidP="00CA415A">
            <w:pPr>
              <w:spacing w:before="40" w:after="40"/>
              <w:jc w:val="left"/>
              <w:rPr>
                <w:sz w:val="16"/>
                <w:szCs w:val="16"/>
                <w:lang w:val="en-GB" w:eastAsia="en-US"/>
              </w:rPr>
            </w:pPr>
            <w:r w:rsidRPr="00BF61F5">
              <w:rPr>
                <w:sz w:val="16"/>
                <w:szCs w:val="16"/>
                <w:lang w:val="en-GB" w:eastAsia="en-US"/>
              </w:rPr>
              <w:t>Legal Department</w:t>
            </w:r>
          </w:p>
          <w:p w14:paraId="06B015DE"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2C438EB7"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36C6BB45" w14:textId="77777777" w:rsidR="0017525B" w:rsidRDefault="0017525B" w:rsidP="00CA415A">
            <w:pPr>
              <w:spacing w:before="40" w:after="40"/>
              <w:jc w:val="left"/>
              <w:rPr>
                <w:sz w:val="16"/>
                <w:szCs w:val="20"/>
                <w:lang w:val="en-GB" w:eastAsia="en-US"/>
              </w:rPr>
            </w:pPr>
            <w:r>
              <w:rPr>
                <w:sz w:val="16"/>
                <w:szCs w:val="20"/>
                <w:lang w:val="en-GB" w:eastAsia="en-US"/>
              </w:rPr>
              <w:t>Relevant legislative authority (DNRME DES etc.)</w:t>
            </w:r>
          </w:p>
          <w:p w14:paraId="010B0486" w14:textId="77777777" w:rsidR="0017525B" w:rsidRDefault="0017525B" w:rsidP="00CA415A">
            <w:pPr>
              <w:spacing w:before="40" w:after="40"/>
              <w:jc w:val="left"/>
              <w:rPr>
                <w:sz w:val="16"/>
                <w:szCs w:val="20"/>
                <w:lang w:val="en-GB" w:eastAsia="en-US"/>
              </w:rPr>
            </w:pPr>
          </w:p>
          <w:p w14:paraId="1EB93830"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Verbal – Immediate</w:t>
            </w:r>
          </w:p>
          <w:p w14:paraId="42AD430F"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Written – Within 24 hours</w:t>
            </w:r>
          </w:p>
        </w:tc>
      </w:tr>
      <w:tr w:rsidR="0017525B" w:rsidRPr="00BF61F5" w14:paraId="0637407E" w14:textId="77777777" w:rsidTr="00CA415A">
        <w:trPr>
          <w:cantSplit/>
          <w:trHeight w:val="341"/>
        </w:trPr>
        <w:tc>
          <w:tcPr>
            <w:tcW w:w="773" w:type="pct"/>
            <w:tcBorders>
              <w:top w:val="single" w:sz="4" w:space="0" w:color="auto"/>
              <w:bottom w:val="single" w:sz="4" w:space="0" w:color="auto"/>
            </w:tcBorders>
            <w:shd w:val="clear" w:color="auto" w:fill="auto"/>
            <w:vAlign w:val="center"/>
          </w:tcPr>
          <w:p w14:paraId="6EAF49BE" w14:textId="77777777" w:rsidR="0017525B" w:rsidRPr="00BF61F5" w:rsidRDefault="0017525B" w:rsidP="00CA415A">
            <w:pPr>
              <w:tabs>
                <w:tab w:val="left" w:pos="318"/>
              </w:tabs>
              <w:spacing w:before="40" w:after="40"/>
              <w:jc w:val="center"/>
              <w:rPr>
                <w:sz w:val="16"/>
                <w:szCs w:val="20"/>
                <w:lang w:val="en-GB"/>
              </w:rPr>
            </w:pPr>
            <w:r w:rsidRPr="00BF61F5">
              <w:rPr>
                <w:sz w:val="16"/>
                <w:szCs w:val="20"/>
                <w:lang w:val="en-GB"/>
              </w:rPr>
              <w:lastRenderedPageBreak/>
              <w:t>Moderate</w:t>
            </w:r>
          </w:p>
        </w:tc>
        <w:tc>
          <w:tcPr>
            <w:tcW w:w="2005" w:type="pct"/>
            <w:tcBorders>
              <w:top w:val="single" w:sz="4" w:space="0" w:color="auto"/>
              <w:bottom w:val="single" w:sz="4" w:space="0" w:color="auto"/>
            </w:tcBorders>
            <w:shd w:val="clear" w:color="auto" w:fill="auto"/>
          </w:tcPr>
          <w:p w14:paraId="55ACFB14"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68290E3F" w14:textId="36A1C71D" w:rsidR="0017525B" w:rsidRDefault="0017525B" w:rsidP="00CA415A">
            <w:pPr>
              <w:spacing w:before="40" w:after="40"/>
              <w:jc w:val="left"/>
              <w:rPr>
                <w:sz w:val="16"/>
                <w:szCs w:val="20"/>
                <w:lang w:val="en-GB" w:eastAsia="en-US"/>
              </w:rPr>
            </w:pPr>
            <w:r>
              <w:rPr>
                <w:sz w:val="16"/>
                <w:szCs w:val="20"/>
                <w:lang w:val="en-GB" w:eastAsia="en-US"/>
              </w:rPr>
              <w:t>Kaius Resources</w:t>
            </w:r>
          </w:p>
          <w:p w14:paraId="0A147AE1"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4EBAC41B"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6E022CC0" w14:textId="77777777" w:rsidR="0017525B" w:rsidRDefault="0017525B" w:rsidP="00CA415A">
            <w:pPr>
              <w:spacing w:before="40" w:after="40"/>
              <w:jc w:val="left"/>
              <w:rPr>
                <w:sz w:val="16"/>
                <w:szCs w:val="20"/>
                <w:lang w:val="en-GB" w:eastAsia="en-US"/>
              </w:rPr>
            </w:pPr>
          </w:p>
          <w:p w14:paraId="647BC5FF" w14:textId="77777777" w:rsidR="0017525B" w:rsidRPr="00BF61F5" w:rsidRDefault="0017525B" w:rsidP="00CA415A">
            <w:pPr>
              <w:spacing w:before="40" w:after="40"/>
              <w:jc w:val="left"/>
              <w:rPr>
                <w:sz w:val="16"/>
                <w:szCs w:val="16"/>
                <w:lang w:val="en-GB" w:eastAsia="en-US"/>
              </w:rPr>
            </w:pPr>
            <w:r>
              <w:rPr>
                <w:sz w:val="16"/>
                <w:szCs w:val="20"/>
                <w:lang w:val="en-GB" w:eastAsia="en-US"/>
              </w:rPr>
              <w:t>Verbal – Within 24hours</w:t>
            </w:r>
          </w:p>
          <w:p w14:paraId="7B67B867" w14:textId="77777777" w:rsidR="0017525B" w:rsidRPr="00BF61F5" w:rsidRDefault="0017525B" w:rsidP="00CA415A">
            <w:pPr>
              <w:spacing w:before="40" w:after="40"/>
              <w:rPr>
                <w:sz w:val="16"/>
                <w:szCs w:val="16"/>
              </w:rPr>
            </w:pPr>
            <w:r w:rsidRPr="00BF61F5">
              <w:rPr>
                <w:sz w:val="16"/>
                <w:szCs w:val="20"/>
                <w:lang w:val="en-GB" w:eastAsia="en-US"/>
              </w:rPr>
              <w:t>Written – Within 4</w:t>
            </w:r>
            <w:r>
              <w:rPr>
                <w:sz w:val="16"/>
                <w:szCs w:val="20"/>
                <w:lang w:val="en-GB" w:eastAsia="en-US"/>
              </w:rPr>
              <w:t>8</w:t>
            </w:r>
            <w:r w:rsidRPr="00BF61F5">
              <w:rPr>
                <w:sz w:val="16"/>
                <w:szCs w:val="20"/>
                <w:lang w:val="en-GB" w:eastAsia="en-US"/>
              </w:rPr>
              <w:t xml:space="preserve"> hours</w:t>
            </w:r>
          </w:p>
        </w:tc>
        <w:tc>
          <w:tcPr>
            <w:tcW w:w="2222" w:type="pct"/>
            <w:tcBorders>
              <w:top w:val="single" w:sz="4" w:space="0" w:color="auto"/>
              <w:bottom w:val="single" w:sz="4" w:space="0" w:color="auto"/>
            </w:tcBorders>
            <w:shd w:val="clear" w:color="auto" w:fill="auto"/>
          </w:tcPr>
          <w:p w14:paraId="551A2F6B" w14:textId="77777777" w:rsidR="0017525B" w:rsidRPr="00BF61F5" w:rsidRDefault="0017525B" w:rsidP="00CA415A">
            <w:pPr>
              <w:spacing w:before="40" w:after="40"/>
              <w:jc w:val="left"/>
              <w:rPr>
                <w:sz w:val="16"/>
                <w:szCs w:val="16"/>
                <w:lang w:val="en-GB" w:eastAsia="en-US"/>
              </w:rPr>
            </w:pPr>
            <w:r w:rsidRPr="00BF61F5">
              <w:rPr>
                <w:sz w:val="16"/>
                <w:szCs w:val="20"/>
                <w:lang w:val="en-GB" w:eastAsia="en-US"/>
              </w:rPr>
              <w:t>Site Senior Executive</w:t>
            </w:r>
          </w:p>
          <w:p w14:paraId="6899FA34" w14:textId="48162752" w:rsidR="0017525B" w:rsidRDefault="0017525B" w:rsidP="00CA415A">
            <w:pPr>
              <w:spacing w:before="40" w:after="40"/>
              <w:jc w:val="left"/>
              <w:rPr>
                <w:sz w:val="16"/>
                <w:szCs w:val="20"/>
                <w:lang w:val="en-GB" w:eastAsia="en-US"/>
              </w:rPr>
            </w:pPr>
            <w:r>
              <w:rPr>
                <w:sz w:val="16"/>
                <w:szCs w:val="20"/>
                <w:lang w:val="en-GB" w:eastAsia="en-US"/>
              </w:rPr>
              <w:t>Kaius Resources</w:t>
            </w:r>
          </w:p>
          <w:p w14:paraId="76209107"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5A68A836" w14:textId="77777777" w:rsidR="0017525B" w:rsidRPr="00BF61F5" w:rsidRDefault="0017525B" w:rsidP="00CA415A">
            <w:pPr>
              <w:spacing w:before="40" w:after="40"/>
              <w:jc w:val="left"/>
              <w:rPr>
                <w:sz w:val="16"/>
                <w:szCs w:val="20"/>
                <w:lang w:val="en-GB" w:eastAsia="en-US"/>
              </w:rPr>
            </w:pPr>
            <w:r w:rsidRPr="00BF61F5">
              <w:rPr>
                <w:sz w:val="16"/>
                <w:szCs w:val="20"/>
                <w:lang w:val="en-GB" w:eastAsia="en-US"/>
              </w:rPr>
              <w:t>HST Superintendent</w:t>
            </w:r>
          </w:p>
          <w:p w14:paraId="7C0A0464" w14:textId="77777777" w:rsidR="0017525B" w:rsidRDefault="0017525B" w:rsidP="00CA415A">
            <w:pPr>
              <w:spacing w:before="40" w:after="40"/>
              <w:jc w:val="left"/>
              <w:rPr>
                <w:sz w:val="16"/>
                <w:szCs w:val="20"/>
                <w:lang w:val="en-GB" w:eastAsia="en-US"/>
              </w:rPr>
            </w:pPr>
          </w:p>
          <w:p w14:paraId="27577C4C" w14:textId="77777777" w:rsidR="0017525B" w:rsidRPr="00BF61F5" w:rsidRDefault="0017525B" w:rsidP="00CA415A">
            <w:pPr>
              <w:spacing w:before="40" w:after="40"/>
              <w:jc w:val="left"/>
              <w:rPr>
                <w:sz w:val="16"/>
                <w:szCs w:val="16"/>
                <w:lang w:val="en-GB" w:eastAsia="en-US"/>
              </w:rPr>
            </w:pPr>
            <w:r>
              <w:rPr>
                <w:sz w:val="16"/>
                <w:szCs w:val="20"/>
                <w:lang w:val="en-GB" w:eastAsia="en-US"/>
              </w:rPr>
              <w:t>Verbal – Within 24 hours</w:t>
            </w:r>
          </w:p>
          <w:p w14:paraId="62482EC6" w14:textId="77777777" w:rsidR="0017525B" w:rsidRPr="00BF61F5" w:rsidRDefault="0017525B" w:rsidP="00CA415A">
            <w:pPr>
              <w:spacing w:before="40" w:after="40"/>
              <w:rPr>
                <w:sz w:val="16"/>
                <w:szCs w:val="16"/>
              </w:rPr>
            </w:pPr>
            <w:r w:rsidRPr="00BF61F5">
              <w:rPr>
                <w:sz w:val="16"/>
                <w:szCs w:val="20"/>
                <w:lang w:val="en-GB" w:eastAsia="en-US"/>
              </w:rPr>
              <w:t>Written – Within 4</w:t>
            </w:r>
            <w:r>
              <w:rPr>
                <w:sz w:val="16"/>
                <w:szCs w:val="20"/>
                <w:lang w:val="en-GB" w:eastAsia="en-US"/>
              </w:rPr>
              <w:t>8</w:t>
            </w:r>
            <w:r w:rsidRPr="00BF61F5">
              <w:rPr>
                <w:sz w:val="16"/>
                <w:szCs w:val="20"/>
                <w:lang w:val="en-GB" w:eastAsia="en-US"/>
              </w:rPr>
              <w:t xml:space="preserve"> hours</w:t>
            </w:r>
          </w:p>
        </w:tc>
      </w:tr>
      <w:tr w:rsidR="0017525B" w:rsidRPr="00BF61F5" w14:paraId="753C76C2" w14:textId="77777777" w:rsidTr="00CA415A">
        <w:trPr>
          <w:cantSplit/>
          <w:trHeight w:val="677"/>
        </w:trPr>
        <w:tc>
          <w:tcPr>
            <w:tcW w:w="773" w:type="pct"/>
            <w:tcBorders>
              <w:top w:val="single" w:sz="4" w:space="0" w:color="auto"/>
              <w:bottom w:val="single" w:sz="4" w:space="0" w:color="auto"/>
            </w:tcBorders>
            <w:shd w:val="clear" w:color="auto" w:fill="auto"/>
          </w:tcPr>
          <w:p w14:paraId="10B1DE18"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Minor</w:t>
            </w:r>
          </w:p>
        </w:tc>
        <w:tc>
          <w:tcPr>
            <w:tcW w:w="2005" w:type="pct"/>
            <w:tcBorders>
              <w:top w:val="single" w:sz="4" w:space="0" w:color="auto"/>
              <w:bottom w:val="single" w:sz="4" w:space="0" w:color="auto"/>
            </w:tcBorders>
            <w:shd w:val="clear" w:color="auto" w:fill="auto"/>
          </w:tcPr>
          <w:p w14:paraId="12A1FAAA" w14:textId="77777777" w:rsidR="0017525B" w:rsidRDefault="0017525B" w:rsidP="00CA415A">
            <w:pPr>
              <w:spacing w:before="40" w:after="40"/>
              <w:jc w:val="left"/>
              <w:rPr>
                <w:sz w:val="16"/>
                <w:szCs w:val="16"/>
                <w:lang w:val="en-GB" w:eastAsia="en-US"/>
              </w:rPr>
            </w:pPr>
            <w:r>
              <w:rPr>
                <w:sz w:val="16"/>
                <w:szCs w:val="16"/>
                <w:lang w:val="en-GB" w:eastAsia="en-US"/>
              </w:rPr>
              <w:t>SSE</w:t>
            </w:r>
          </w:p>
          <w:p w14:paraId="6B1A0B38"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612D5DC6" w14:textId="77777777" w:rsidR="0017525B" w:rsidRDefault="0017525B" w:rsidP="00CA415A">
            <w:pPr>
              <w:spacing w:before="40" w:after="40"/>
              <w:jc w:val="left"/>
              <w:rPr>
                <w:sz w:val="16"/>
                <w:szCs w:val="20"/>
                <w:lang w:val="en-GB" w:eastAsia="en-US"/>
              </w:rPr>
            </w:pPr>
            <w:r w:rsidRPr="00BF61F5">
              <w:rPr>
                <w:sz w:val="16"/>
                <w:szCs w:val="20"/>
                <w:lang w:val="en-GB" w:eastAsia="en-US"/>
              </w:rPr>
              <w:t>HST Superintendent</w:t>
            </w:r>
          </w:p>
          <w:p w14:paraId="24736DA4" w14:textId="77777777" w:rsidR="0017525B" w:rsidRDefault="0017525B" w:rsidP="00CA415A">
            <w:pPr>
              <w:spacing w:before="40" w:after="40"/>
              <w:jc w:val="left"/>
              <w:rPr>
                <w:sz w:val="16"/>
                <w:szCs w:val="20"/>
                <w:lang w:val="en-GB" w:eastAsia="en-US"/>
              </w:rPr>
            </w:pPr>
          </w:p>
          <w:p w14:paraId="7B41F7F4" w14:textId="77777777" w:rsidR="0017525B" w:rsidRDefault="0017525B" w:rsidP="00CA415A">
            <w:pPr>
              <w:spacing w:before="40" w:after="40"/>
              <w:jc w:val="left"/>
              <w:rPr>
                <w:sz w:val="16"/>
                <w:szCs w:val="20"/>
                <w:lang w:val="en-GB" w:eastAsia="en-US"/>
              </w:rPr>
            </w:pPr>
            <w:r>
              <w:rPr>
                <w:sz w:val="16"/>
                <w:szCs w:val="20"/>
                <w:lang w:val="en-GB" w:eastAsia="en-US"/>
              </w:rPr>
              <w:t>Verbal-within 24 hours</w:t>
            </w:r>
          </w:p>
          <w:p w14:paraId="2CD24181" w14:textId="77777777" w:rsidR="0017525B" w:rsidRPr="00AB2E9E" w:rsidRDefault="0017525B" w:rsidP="00CA415A">
            <w:pPr>
              <w:spacing w:before="40" w:after="40"/>
              <w:jc w:val="left"/>
              <w:rPr>
                <w:sz w:val="16"/>
                <w:szCs w:val="20"/>
                <w:lang w:val="en-GB" w:eastAsia="en-US"/>
              </w:rPr>
            </w:pPr>
            <w:r>
              <w:rPr>
                <w:sz w:val="16"/>
                <w:szCs w:val="20"/>
                <w:lang w:val="en-GB" w:eastAsia="en-US"/>
              </w:rPr>
              <w:t>Written-within 7 days</w:t>
            </w:r>
          </w:p>
        </w:tc>
        <w:tc>
          <w:tcPr>
            <w:tcW w:w="2222" w:type="pct"/>
            <w:tcBorders>
              <w:top w:val="single" w:sz="4" w:space="0" w:color="auto"/>
              <w:bottom w:val="single" w:sz="4" w:space="0" w:color="auto"/>
            </w:tcBorders>
            <w:shd w:val="clear" w:color="auto" w:fill="auto"/>
          </w:tcPr>
          <w:p w14:paraId="1927C111" w14:textId="77777777" w:rsidR="0017525B" w:rsidRDefault="0017525B" w:rsidP="00CA415A">
            <w:pPr>
              <w:spacing w:before="40" w:after="40"/>
              <w:jc w:val="left"/>
              <w:rPr>
                <w:sz w:val="16"/>
                <w:szCs w:val="16"/>
                <w:lang w:val="en-GB" w:eastAsia="en-US"/>
              </w:rPr>
            </w:pPr>
            <w:r>
              <w:rPr>
                <w:sz w:val="16"/>
                <w:szCs w:val="16"/>
                <w:lang w:val="en-GB" w:eastAsia="en-US"/>
              </w:rPr>
              <w:t>SSE</w:t>
            </w:r>
          </w:p>
          <w:p w14:paraId="25265C6E"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4BB4A4BA" w14:textId="77777777" w:rsidR="0017525B" w:rsidRDefault="0017525B" w:rsidP="00CA415A">
            <w:pPr>
              <w:spacing w:before="40" w:after="40"/>
              <w:jc w:val="left"/>
              <w:rPr>
                <w:sz w:val="16"/>
                <w:szCs w:val="20"/>
                <w:lang w:val="en-GB" w:eastAsia="en-US"/>
              </w:rPr>
            </w:pPr>
            <w:r w:rsidRPr="00BF61F5">
              <w:rPr>
                <w:sz w:val="16"/>
                <w:szCs w:val="20"/>
                <w:lang w:val="en-GB" w:eastAsia="en-US"/>
              </w:rPr>
              <w:t>HST Superintendent</w:t>
            </w:r>
          </w:p>
          <w:p w14:paraId="6C205952" w14:textId="77777777" w:rsidR="0017525B" w:rsidRDefault="0017525B" w:rsidP="00CA415A">
            <w:pPr>
              <w:spacing w:before="40" w:after="40"/>
              <w:jc w:val="left"/>
              <w:rPr>
                <w:sz w:val="16"/>
                <w:szCs w:val="20"/>
                <w:lang w:val="en-GB" w:eastAsia="en-US"/>
              </w:rPr>
            </w:pPr>
          </w:p>
          <w:p w14:paraId="300F9241" w14:textId="77777777" w:rsidR="0017525B" w:rsidRDefault="0017525B" w:rsidP="00CA415A">
            <w:pPr>
              <w:spacing w:before="40" w:after="40"/>
              <w:jc w:val="left"/>
              <w:rPr>
                <w:sz w:val="16"/>
                <w:szCs w:val="20"/>
                <w:lang w:val="en-GB" w:eastAsia="en-US"/>
              </w:rPr>
            </w:pPr>
            <w:r>
              <w:rPr>
                <w:sz w:val="16"/>
                <w:szCs w:val="20"/>
                <w:lang w:val="en-GB" w:eastAsia="en-US"/>
              </w:rPr>
              <w:t>Verbal-within 24 hours</w:t>
            </w:r>
          </w:p>
          <w:p w14:paraId="606A9E01" w14:textId="77777777" w:rsidR="0017525B" w:rsidRPr="00AB2E9E" w:rsidRDefault="0017525B" w:rsidP="00CA415A">
            <w:pPr>
              <w:spacing w:before="40" w:after="40"/>
              <w:jc w:val="left"/>
              <w:rPr>
                <w:sz w:val="16"/>
                <w:szCs w:val="20"/>
                <w:lang w:val="en-GB" w:eastAsia="en-US"/>
              </w:rPr>
            </w:pPr>
            <w:r>
              <w:rPr>
                <w:sz w:val="16"/>
                <w:szCs w:val="20"/>
                <w:lang w:val="en-GB" w:eastAsia="en-US"/>
              </w:rPr>
              <w:t>Written-within 7 days</w:t>
            </w:r>
          </w:p>
        </w:tc>
      </w:tr>
      <w:tr w:rsidR="0017525B" w:rsidRPr="00BF61F5" w14:paraId="03E29B37" w14:textId="77777777" w:rsidTr="00CA415A">
        <w:trPr>
          <w:cantSplit/>
          <w:trHeight w:val="715"/>
        </w:trPr>
        <w:tc>
          <w:tcPr>
            <w:tcW w:w="773" w:type="pct"/>
            <w:tcBorders>
              <w:top w:val="single" w:sz="4" w:space="0" w:color="auto"/>
              <w:bottom w:val="single" w:sz="4" w:space="0" w:color="auto"/>
            </w:tcBorders>
            <w:shd w:val="clear" w:color="auto" w:fill="auto"/>
          </w:tcPr>
          <w:p w14:paraId="2BA4EDFC" w14:textId="77777777" w:rsidR="0017525B" w:rsidRPr="00BF61F5" w:rsidRDefault="0017525B" w:rsidP="00CA415A">
            <w:pPr>
              <w:tabs>
                <w:tab w:val="left" w:pos="318"/>
              </w:tabs>
              <w:spacing w:before="40" w:after="40"/>
              <w:jc w:val="left"/>
              <w:rPr>
                <w:sz w:val="16"/>
                <w:szCs w:val="20"/>
                <w:lang w:val="en-GB"/>
              </w:rPr>
            </w:pPr>
            <w:r w:rsidRPr="00BF61F5">
              <w:rPr>
                <w:sz w:val="16"/>
                <w:szCs w:val="20"/>
                <w:lang w:val="en-GB"/>
              </w:rPr>
              <w:t>Insignificant</w:t>
            </w:r>
          </w:p>
        </w:tc>
        <w:tc>
          <w:tcPr>
            <w:tcW w:w="2005" w:type="pct"/>
            <w:tcBorders>
              <w:top w:val="single" w:sz="4" w:space="0" w:color="auto"/>
              <w:bottom w:val="single" w:sz="4" w:space="0" w:color="auto"/>
            </w:tcBorders>
            <w:shd w:val="clear" w:color="auto" w:fill="auto"/>
            <w:vAlign w:val="center"/>
          </w:tcPr>
          <w:p w14:paraId="714A999C" w14:textId="77777777" w:rsidR="0017525B" w:rsidRPr="00AB2E9E" w:rsidRDefault="0017525B" w:rsidP="00CA415A">
            <w:pPr>
              <w:spacing w:before="40" w:after="40"/>
              <w:jc w:val="center"/>
              <w:rPr>
                <w:sz w:val="16"/>
                <w:szCs w:val="20"/>
                <w:lang w:val="en-GB" w:eastAsia="en-US"/>
              </w:rPr>
            </w:pPr>
            <w:r>
              <w:rPr>
                <w:sz w:val="16"/>
                <w:szCs w:val="20"/>
                <w:lang w:val="en-GB" w:eastAsia="en-US"/>
              </w:rPr>
              <w:t>N/A</w:t>
            </w:r>
          </w:p>
        </w:tc>
        <w:tc>
          <w:tcPr>
            <w:tcW w:w="2222" w:type="pct"/>
            <w:tcBorders>
              <w:top w:val="single" w:sz="4" w:space="0" w:color="auto"/>
              <w:bottom w:val="single" w:sz="4" w:space="0" w:color="auto"/>
            </w:tcBorders>
            <w:shd w:val="clear" w:color="auto" w:fill="auto"/>
          </w:tcPr>
          <w:p w14:paraId="55F3F74C" w14:textId="77777777" w:rsidR="0017525B" w:rsidRDefault="0017525B" w:rsidP="00CA415A">
            <w:pPr>
              <w:spacing w:before="40" w:after="40"/>
              <w:rPr>
                <w:sz w:val="16"/>
                <w:szCs w:val="16"/>
              </w:rPr>
            </w:pPr>
            <w:r w:rsidRPr="00BF61F5">
              <w:rPr>
                <w:sz w:val="16"/>
                <w:szCs w:val="16"/>
              </w:rPr>
              <w:t>S</w:t>
            </w:r>
            <w:r>
              <w:rPr>
                <w:sz w:val="16"/>
                <w:szCs w:val="16"/>
              </w:rPr>
              <w:t>upervisor</w:t>
            </w:r>
          </w:p>
          <w:p w14:paraId="0B6301BE" w14:textId="77777777" w:rsidR="0017525B" w:rsidRPr="00BF61F5" w:rsidRDefault="0017525B" w:rsidP="00CA415A">
            <w:pPr>
              <w:spacing w:before="40" w:after="40"/>
              <w:jc w:val="left"/>
              <w:rPr>
                <w:sz w:val="16"/>
                <w:szCs w:val="16"/>
                <w:lang w:val="en-GB" w:eastAsia="en-US"/>
              </w:rPr>
            </w:pPr>
            <w:r>
              <w:rPr>
                <w:sz w:val="16"/>
                <w:szCs w:val="16"/>
                <w:lang w:val="en-GB" w:eastAsia="en-US"/>
              </w:rPr>
              <w:t>Relevant Dept. Manager</w:t>
            </w:r>
          </w:p>
          <w:p w14:paraId="70469569" w14:textId="77777777" w:rsidR="0017525B" w:rsidRDefault="0017525B" w:rsidP="00CA415A">
            <w:pPr>
              <w:spacing w:before="40" w:after="40"/>
              <w:jc w:val="left"/>
              <w:rPr>
                <w:sz w:val="16"/>
                <w:szCs w:val="20"/>
                <w:lang w:val="en-GB" w:eastAsia="en-US"/>
              </w:rPr>
            </w:pPr>
            <w:r w:rsidRPr="00BF61F5">
              <w:rPr>
                <w:sz w:val="16"/>
                <w:szCs w:val="20"/>
                <w:lang w:val="en-GB" w:eastAsia="en-US"/>
              </w:rPr>
              <w:t>HST Superintendent</w:t>
            </w:r>
          </w:p>
          <w:p w14:paraId="5EDED09C" w14:textId="77777777" w:rsidR="0017525B" w:rsidRDefault="0017525B" w:rsidP="00CA415A">
            <w:pPr>
              <w:spacing w:before="40" w:after="40"/>
              <w:jc w:val="left"/>
              <w:rPr>
                <w:sz w:val="16"/>
                <w:szCs w:val="20"/>
                <w:lang w:val="en-GB" w:eastAsia="en-US"/>
              </w:rPr>
            </w:pPr>
          </w:p>
          <w:p w14:paraId="24F5C711" w14:textId="77777777" w:rsidR="0017525B" w:rsidRPr="00BF61F5" w:rsidRDefault="0017525B" w:rsidP="00CA415A">
            <w:pPr>
              <w:spacing w:before="40" w:after="40"/>
              <w:rPr>
                <w:sz w:val="16"/>
                <w:szCs w:val="16"/>
              </w:rPr>
            </w:pPr>
            <w:r>
              <w:rPr>
                <w:sz w:val="16"/>
                <w:szCs w:val="20"/>
                <w:lang w:val="en-GB" w:eastAsia="en-US"/>
              </w:rPr>
              <w:t>Verbal-within 24 hours</w:t>
            </w:r>
          </w:p>
        </w:tc>
      </w:tr>
    </w:tbl>
    <w:p w14:paraId="27693DC3" w14:textId="77777777" w:rsidR="0017525B" w:rsidRPr="00BF61F5" w:rsidRDefault="0017525B" w:rsidP="0017525B">
      <w:pPr>
        <w:keepNext/>
        <w:numPr>
          <w:ilvl w:val="2"/>
          <w:numId w:val="4"/>
        </w:numPr>
        <w:tabs>
          <w:tab w:val="left" w:pos="1134"/>
        </w:tabs>
        <w:spacing w:before="240" w:after="60"/>
        <w:jc w:val="left"/>
        <w:outlineLvl w:val="2"/>
        <w:rPr>
          <w:rFonts w:cs="Arial"/>
          <w:b/>
          <w:bCs/>
          <w:szCs w:val="22"/>
          <w:lang w:eastAsia="x-none"/>
        </w:rPr>
      </w:pPr>
      <w:r w:rsidRPr="00BF61F5">
        <w:rPr>
          <w:rFonts w:cs="Arial"/>
          <w:b/>
          <w:bCs/>
          <w:szCs w:val="22"/>
          <w:lang w:eastAsia="x-none"/>
        </w:rPr>
        <w:t>Step 4</w:t>
      </w:r>
      <w:r>
        <w:rPr>
          <w:rFonts w:cs="Arial"/>
          <w:b/>
          <w:bCs/>
          <w:szCs w:val="22"/>
          <w:lang w:eastAsia="x-none"/>
        </w:rPr>
        <w:t>:</w:t>
      </w:r>
      <w:r w:rsidRPr="00BF61F5">
        <w:rPr>
          <w:rFonts w:cs="Arial"/>
          <w:b/>
          <w:bCs/>
          <w:szCs w:val="22"/>
          <w:lang w:eastAsia="x-none"/>
        </w:rPr>
        <w:t xml:space="preserve"> Investigation P</w:t>
      </w:r>
      <w:bookmarkEnd w:id="29"/>
      <w:bookmarkEnd w:id="30"/>
      <w:r>
        <w:rPr>
          <w:rFonts w:cs="Arial"/>
          <w:b/>
          <w:bCs/>
          <w:szCs w:val="22"/>
          <w:lang w:eastAsia="x-none"/>
        </w:rPr>
        <w:t>lanning</w:t>
      </w:r>
    </w:p>
    <w:p w14:paraId="0B731ED6" w14:textId="77777777" w:rsidR="0017525B" w:rsidRPr="00BF61F5" w:rsidRDefault="0017525B" w:rsidP="0017525B">
      <w:pPr>
        <w:tabs>
          <w:tab w:val="left" w:pos="1134"/>
        </w:tabs>
        <w:spacing w:before="120" w:after="120"/>
        <w:ind w:left="567"/>
        <w:rPr>
          <w:lang w:val="en-GB" w:eastAsia="en-US"/>
        </w:rPr>
      </w:pPr>
      <w:r w:rsidRPr="00BF61F5">
        <w:rPr>
          <w:lang w:val="en-GB" w:eastAsia="en-US"/>
        </w:rPr>
        <w:t>An incident investigation team must be formed to ensure that an adequate knowledge and experience base is present during the investigation and must include personnel appropriate to the incident severity level.</w:t>
      </w:r>
    </w:p>
    <w:p w14:paraId="5A72A5AC" w14:textId="77777777" w:rsidR="0017525B" w:rsidRDefault="0017525B" w:rsidP="0017525B">
      <w:pPr>
        <w:tabs>
          <w:tab w:val="left" w:pos="1134"/>
        </w:tabs>
        <w:spacing w:before="120" w:after="120"/>
        <w:ind w:left="567"/>
        <w:rPr>
          <w:lang w:val="en-GB" w:eastAsia="en-US"/>
        </w:rPr>
      </w:pPr>
      <w:r>
        <w:rPr>
          <w:lang w:val="en-GB" w:eastAsia="en-US"/>
        </w:rPr>
        <w:t>For ICAM investigations a</w:t>
      </w:r>
      <w:r w:rsidRPr="00BF61F5">
        <w:rPr>
          <w:lang w:val="en-GB" w:eastAsia="en-US"/>
        </w:rPr>
        <w:t>n investigation team leader trained in incident investigation and the relevant investigation process (ICAM) shall be appointed to lead the investigation team</w:t>
      </w:r>
      <w:r>
        <w:rPr>
          <w:lang w:val="en-GB" w:eastAsia="en-US"/>
        </w:rPr>
        <w:t>.</w:t>
      </w:r>
    </w:p>
    <w:p w14:paraId="7B4A9E95" w14:textId="77777777" w:rsidR="0017525B" w:rsidRDefault="0017525B" w:rsidP="0017525B">
      <w:pPr>
        <w:pStyle w:val="Body"/>
      </w:pPr>
      <w:r>
        <w:t>The Lead Investigator is to prepare for an investigation to the extent the severity requires, and until the investigator or in some cases the SSE, Mines Inspector or Police releases the scene, it shall remain in quarantine. See Table 4 below</w:t>
      </w:r>
    </w:p>
    <w:p w14:paraId="78B2B7EE" w14:textId="77777777" w:rsidR="0017525B" w:rsidRDefault="0017525B" w:rsidP="0017525B">
      <w:pPr>
        <w:rPr>
          <w:b/>
        </w:rPr>
      </w:pPr>
      <w:r w:rsidRPr="00FC04B3">
        <w:rPr>
          <w:b/>
        </w:rPr>
        <w:t>Table 4: Accountable Person and Investigator Selection table</w:t>
      </w:r>
    </w:p>
    <w:p w14:paraId="7B4724C3" w14:textId="77777777" w:rsidR="0017525B" w:rsidRPr="00FC04B3" w:rsidRDefault="0017525B" w:rsidP="0017525B">
      <w:pPr>
        <w:rPr>
          <w:b/>
        </w:rPr>
      </w:pPr>
    </w:p>
    <w:tbl>
      <w:tblPr>
        <w:tblStyle w:val="TableGrid"/>
        <w:tblW w:w="9998" w:type="dxa"/>
        <w:tblLook w:val="04A0" w:firstRow="1" w:lastRow="0" w:firstColumn="1" w:lastColumn="0" w:noHBand="0" w:noVBand="1"/>
      </w:tblPr>
      <w:tblGrid>
        <w:gridCol w:w="1365"/>
        <w:gridCol w:w="1169"/>
        <w:gridCol w:w="824"/>
        <w:gridCol w:w="833"/>
        <w:gridCol w:w="812"/>
        <w:gridCol w:w="849"/>
        <w:gridCol w:w="812"/>
        <w:gridCol w:w="849"/>
        <w:gridCol w:w="812"/>
        <w:gridCol w:w="849"/>
        <w:gridCol w:w="824"/>
      </w:tblGrid>
      <w:tr w:rsidR="0017525B" w14:paraId="680B8A9B" w14:textId="77777777" w:rsidTr="00CA415A">
        <w:trPr>
          <w:trHeight w:val="227"/>
        </w:trPr>
        <w:tc>
          <w:tcPr>
            <w:tcW w:w="9998" w:type="dxa"/>
            <w:gridSpan w:val="11"/>
            <w:shd w:val="clear" w:color="auto" w:fill="BFBFBF" w:themeFill="background1" w:themeFillShade="BF"/>
          </w:tcPr>
          <w:p w14:paraId="735A3E0E" w14:textId="77777777" w:rsidR="0017525B" w:rsidRPr="005D3A0B" w:rsidRDefault="0017525B" w:rsidP="00CA415A">
            <w:pPr>
              <w:spacing w:before="80" w:after="80"/>
              <w:rPr>
                <w:rFonts w:cs="Arial"/>
                <w:sz w:val="16"/>
                <w:lang w:eastAsia="en-US"/>
              </w:rPr>
            </w:pPr>
            <w:r w:rsidRPr="005D3A0B">
              <w:rPr>
                <w:rFonts w:cs="Arial"/>
                <w:b/>
                <w:sz w:val="20"/>
                <w:lang w:eastAsia="en-US"/>
              </w:rPr>
              <w:t>Incident Investigator</w:t>
            </w:r>
          </w:p>
        </w:tc>
      </w:tr>
      <w:tr w:rsidR="0017525B" w14:paraId="4FEE069E" w14:textId="77777777" w:rsidTr="00CA415A">
        <w:trPr>
          <w:trHeight w:val="227"/>
        </w:trPr>
        <w:tc>
          <w:tcPr>
            <w:tcW w:w="1365" w:type="dxa"/>
            <w:shd w:val="clear" w:color="auto" w:fill="F2F2F2" w:themeFill="background1" w:themeFillShade="F2"/>
            <w:vAlign w:val="center"/>
          </w:tcPr>
          <w:p w14:paraId="1DD14F53" w14:textId="77777777" w:rsidR="0017525B" w:rsidRPr="005D3A0B" w:rsidRDefault="0017525B" w:rsidP="00CA415A">
            <w:pPr>
              <w:spacing w:before="60" w:after="60"/>
              <w:jc w:val="center"/>
              <w:rPr>
                <w:rFonts w:cs="Arial"/>
                <w:sz w:val="16"/>
                <w:lang w:eastAsia="en-US"/>
              </w:rPr>
            </w:pPr>
            <w:r w:rsidRPr="005D3A0B">
              <w:rPr>
                <w:rFonts w:cs="Arial"/>
                <w:sz w:val="16"/>
                <w:lang w:eastAsia="en-US"/>
              </w:rPr>
              <w:t>Accountable Person</w:t>
            </w:r>
          </w:p>
        </w:tc>
        <w:tc>
          <w:tcPr>
            <w:tcW w:w="1169" w:type="dxa"/>
            <w:shd w:val="clear" w:color="auto" w:fill="F2F2F2" w:themeFill="background1" w:themeFillShade="F2"/>
            <w:vAlign w:val="center"/>
          </w:tcPr>
          <w:p w14:paraId="01DCF607" w14:textId="77777777" w:rsidR="0017525B" w:rsidRPr="005D3A0B" w:rsidRDefault="0017525B" w:rsidP="00CA415A">
            <w:pPr>
              <w:spacing w:before="60" w:after="60"/>
              <w:jc w:val="center"/>
              <w:rPr>
                <w:rFonts w:cs="Arial"/>
                <w:sz w:val="16"/>
                <w:lang w:eastAsia="en-US"/>
              </w:rPr>
            </w:pPr>
            <w:r w:rsidRPr="005D3A0B">
              <w:rPr>
                <w:rFonts w:cs="Arial"/>
                <w:sz w:val="16"/>
                <w:lang w:eastAsia="en-US"/>
              </w:rPr>
              <w:t>Lead Investigator</w:t>
            </w:r>
          </w:p>
        </w:tc>
        <w:tc>
          <w:tcPr>
            <w:tcW w:w="824" w:type="dxa"/>
            <w:shd w:val="clear" w:color="auto" w:fill="F2F2F2" w:themeFill="background1" w:themeFillShade="F2"/>
            <w:vAlign w:val="center"/>
          </w:tcPr>
          <w:p w14:paraId="14D719FA" w14:textId="77777777" w:rsidR="0017525B" w:rsidRPr="005D3A0B" w:rsidRDefault="0017525B" w:rsidP="00CA415A">
            <w:pPr>
              <w:spacing w:before="60" w:after="60"/>
              <w:ind w:left="-51" w:right="-125"/>
              <w:jc w:val="center"/>
              <w:rPr>
                <w:rFonts w:cs="Arial"/>
                <w:sz w:val="16"/>
                <w:lang w:eastAsia="en-US"/>
              </w:rPr>
            </w:pPr>
            <w:r w:rsidRPr="005D3A0B">
              <w:rPr>
                <w:rFonts w:cs="Arial"/>
                <w:sz w:val="16"/>
                <w:lang w:eastAsia="en-US"/>
              </w:rPr>
              <w:t>Level 1</w:t>
            </w:r>
          </w:p>
        </w:tc>
        <w:tc>
          <w:tcPr>
            <w:tcW w:w="833" w:type="dxa"/>
            <w:shd w:val="clear" w:color="auto" w:fill="F2F2F2" w:themeFill="background1" w:themeFillShade="F2"/>
            <w:vAlign w:val="center"/>
          </w:tcPr>
          <w:p w14:paraId="1B0C3E7A" w14:textId="77777777" w:rsidR="0017525B" w:rsidRPr="005D3A0B" w:rsidRDefault="0017525B" w:rsidP="00CA415A">
            <w:pPr>
              <w:spacing w:before="60" w:after="60"/>
              <w:ind w:left="-192" w:right="-195"/>
              <w:jc w:val="center"/>
              <w:rPr>
                <w:rFonts w:cs="Arial"/>
                <w:sz w:val="16"/>
                <w:lang w:eastAsia="en-US"/>
              </w:rPr>
            </w:pPr>
            <w:r w:rsidRPr="005D3A0B">
              <w:rPr>
                <w:rFonts w:cs="Arial"/>
                <w:sz w:val="16"/>
                <w:lang w:eastAsia="en-US"/>
              </w:rPr>
              <w:t>Potential Level 2</w:t>
            </w:r>
          </w:p>
        </w:tc>
        <w:tc>
          <w:tcPr>
            <w:tcW w:w="812" w:type="dxa"/>
            <w:shd w:val="clear" w:color="auto" w:fill="F2F2F2" w:themeFill="background1" w:themeFillShade="F2"/>
            <w:vAlign w:val="center"/>
          </w:tcPr>
          <w:p w14:paraId="3FC590B5" w14:textId="77777777" w:rsidR="0017525B" w:rsidRPr="005D3A0B" w:rsidRDefault="0017525B" w:rsidP="00CA415A">
            <w:pPr>
              <w:spacing w:before="60" w:after="60"/>
              <w:ind w:left="-192" w:right="-61"/>
              <w:jc w:val="center"/>
              <w:rPr>
                <w:rFonts w:cs="Arial"/>
                <w:sz w:val="16"/>
                <w:lang w:eastAsia="en-US"/>
              </w:rPr>
            </w:pPr>
            <w:r w:rsidRPr="005D3A0B">
              <w:rPr>
                <w:rFonts w:cs="Arial"/>
                <w:sz w:val="16"/>
                <w:lang w:eastAsia="en-US"/>
              </w:rPr>
              <w:t>Level 2</w:t>
            </w:r>
          </w:p>
        </w:tc>
        <w:tc>
          <w:tcPr>
            <w:tcW w:w="849" w:type="dxa"/>
            <w:shd w:val="clear" w:color="auto" w:fill="F2F2F2" w:themeFill="background1" w:themeFillShade="F2"/>
            <w:vAlign w:val="center"/>
          </w:tcPr>
          <w:p w14:paraId="194D470C" w14:textId="77777777" w:rsidR="0017525B" w:rsidRPr="005D3A0B" w:rsidRDefault="0017525B" w:rsidP="00CA415A">
            <w:pPr>
              <w:spacing w:before="60" w:after="60"/>
              <w:jc w:val="center"/>
              <w:rPr>
                <w:rFonts w:cs="Arial"/>
                <w:sz w:val="16"/>
                <w:lang w:eastAsia="en-US"/>
              </w:rPr>
            </w:pPr>
            <w:r w:rsidRPr="005D3A0B">
              <w:rPr>
                <w:rFonts w:cs="Arial"/>
                <w:sz w:val="16"/>
                <w:lang w:eastAsia="en-US"/>
              </w:rPr>
              <w:t>Potential Level 3</w:t>
            </w:r>
          </w:p>
        </w:tc>
        <w:tc>
          <w:tcPr>
            <w:tcW w:w="812" w:type="dxa"/>
            <w:shd w:val="clear" w:color="auto" w:fill="F2F2F2" w:themeFill="background1" w:themeFillShade="F2"/>
            <w:vAlign w:val="center"/>
          </w:tcPr>
          <w:p w14:paraId="44AB624A" w14:textId="77777777" w:rsidR="0017525B" w:rsidRPr="005D3A0B" w:rsidRDefault="0017525B" w:rsidP="00CA415A">
            <w:pPr>
              <w:spacing w:before="60" w:after="60"/>
              <w:ind w:left="-191" w:right="-146"/>
              <w:jc w:val="center"/>
              <w:rPr>
                <w:rFonts w:cs="Arial"/>
                <w:sz w:val="16"/>
                <w:lang w:eastAsia="en-US"/>
              </w:rPr>
            </w:pPr>
            <w:r w:rsidRPr="005D3A0B">
              <w:rPr>
                <w:rFonts w:cs="Arial"/>
                <w:sz w:val="16"/>
                <w:lang w:eastAsia="en-US"/>
              </w:rPr>
              <w:t>Level 3</w:t>
            </w:r>
          </w:p>
        </w:tc>
        <w:tc>
          <w:tcPr>
            <w:tcW w:w="849" w:type="dxa"/>
            <w:shd w:val="clear" w:color="auto" w:fill="F2F2F2" w:themeFill="background1" w:themeFillShade="F2"/>
            <w:vAlign w:val="center"/>
          </w:tcPr>
          <w:p w14:paraId="7DE67CEE" w14:textId="77777777" w:rsidR="0017525B" w:rsidRPr="005D3A0B" w:rsidRDefault="0017525B" w:rsidP="00CA415A">
            <w:pPr>
              <w:spacing w:before="60" w:after="60"/>
              <w:jc w:val="center"/>
              <w:rPr>
                <w:rFonts w:cs="Arial"/>
                <w:sz w:val="16"/>
                <w:lang w:eastAsia="en-US"/>
              </w:rPr>
            </w:pPr>
            <w:r w:rsidRPr="005D3A0B">
              <w:rPr>
                <w:rFonts w:cs="Arial"/>
                <w:sz w:val="16"/>
                <w:lang w:eastAsia="en-US"/>
              </w:rPr>
              <w:t>Potential Level 4</w:t>
            </w:r>
          </w:p>
        </w:tc>
        <w:tc>
          <w:tcPr>
            <w:tcW w:w="812" w:type="dxa"/>
            <w:shd w:val="clear" w:color="auto" w:fill="F2F2F2" w:themeFill="background1" w:themeFillShade="F2"/>
            <w:vAlign w:val="center"/>
          </w:tcPr>
          <w:p w14:paraId="0E53C4AE" w14:textId="77777777" w:rsidR="0017525B" w:rsidRPr="005D3A0B" w:rsidRDefault="0017525B" w:rsidP="00CA415A">
            <w:pPr>
              <w:spacing w:before="60" w:after="60"/>
              <w:ind w:left="-190" w:right="-196"/>
              <w:jc w:val="center"/>
              <w:rPr>
                <w:rFonts w:cs="Arial"/>
                <w:sz w:val="16"/>
                <w:lang w:eastAsia="en-US"/>
              </w:rPr>
            </w:pPr>
            <w:r w:rsidRPr="005D3A0B">
              <w:rPr>
                <w:rFonts w:cs="Arial"/>
                <w:sz w:val="16"/>
                <w:lang w:eastAsia="en-US"/>
              </w:rPr>
              <w:t>Level 4</w:t>
            </w:r>
          </w:p>
        </w:tc>
        <w:tc>
          <w:tcPr>
            <w:tcW w:w="849" w:type="dxa"/>
            <w:shd w:val="clear" w:color="auto" w:fill="F2F2F2" w:themeFill="background1" w:themeFillShade="F2"/>
            <w:vAlign w:val="center"/>
          </w:tcPr>
          <w:p w14:paraId="3EACF165" w14:textId="77777777" w:rsidR="0017525B" w:rsidRPr="005D3A0B" w:rsidRDefault="0017525B" w:rsidP="00CA415A">
            <w:pPr>
              <w:spacing w:before="60" w:after="60"/>
              <w:jc w:val="center"/>
              <w:rPr>
                <w:rFonts w:cs="Arial"/>
                <w:sz w:val="16"/>
                <w:lang w:eastAsia="en-US"/>
              </w:rPr>
            </w:pPr>
            <w:r w:rsidRPr="005D3A0B">
              <w:rPr>
                <w:rFonts w:cs="Arial"/>
                <w:sz w:val="16"/>
                <w:lang w:eastAsia="en-US"/>
              </w:rPr>
              <w:t>Potential Level 5</w:t>
            </w:r>
          </w:p>
        </w:tc>
        <w:tc>
          <w:tcPr>
            <w:tcW w:w="824" w:type="dxa"/>
            <w:shd w:val="clear" w:color="auto" w:fill="F2F2F2" w:themeFill="background1" w:themeFillShade="F2"/>
            <w:vAlign w:val="center"/>
          </w:tcPr>
          <w:p w14:paraId="0BB593A6" w14:textId="77777777" w:rsidR="0017525B" w:rsidRPr="005D3A0B" w:rsidRDefault="0017525B" w:rsidP="00CA415A">
            <w:pPr>
              <w:spacing w:before="60" w:after="60"/>
              <w:ind w:left="-47"/>
              <w:jc w:val="center"/>
              <w:rPr>
                <w:rFonts w:cs="Arial"/>
                <w:sz w:val="16"/>
                <w:lang w:eastAsia="en-US"/>
              </w:rPr>
            </w:pPr>
            <w:r w:rsidRPr="005D3A0B">
              <w:rPr>
                <w:rFonts w:cs="Arial"/>
                <w:sz w:val="16"/>
                <w:lang w:eastAsia="en-US"/>
              </w:rPr>
              <w:t>Level 5</w:t>
            </w:r>
          </w:p>
        </w:tc>
      </w:tr>
      <w:tr w:rsidR="0017525B" w14:paraId="0BDBA7B1" w14:textId="77777777" w:rsidTr="00CA415A">
        <w:trPr>
          <w:trHeight w:val="227"/>
        </w:trPr>
        <w:tc>
          <w:tcPr>
            <w:tcW w:w="1365" w:type="dxa"/>
          </w:tcPr>
          <w:p w14:paraId="7980C7E4" w14:textId="77777777" w:rsidR="0017525B" w:rsidRPr="005D3A0B" w:rsidRDefault="0017525B" w:rsidP="00CA415A">
            <w:pPr>
              <w:spacing w:before="60" w:after="60"/>
              <w:jc w:val="left"/>
              <w:rPr>
                <w:rFonts w:cs="Arial"/>
                <w:sz w:val="16"/>
                <w:szCs w:val="16"/>
                <w:lang w:eastAsia="en-US"/>
              </w:rPr>
            </w:pPr>
            <w:r w:rsidRPr="005D3A0B">
              <w:rPr>
                <w:rFonts w:cs="Arial"/>
                <w:sz w:val="16"/>
                <w:szCs w:val="16"/>
                <w:lang w:eastAsia="en-US"/>
              </w:rPr>
              <w:t>Supervisor</w:t>
            </w:r>
          </w:p>
        </w:tc>
        <w:tc>
          <w:tcPr>
            <w:tcW w:w="1169" w:type="dxa"/>
          </w:tcPr>
          <w:p w14:paraId="5C8176A1" w14:textId="77777777" w:rsidR="0017525B" w:rsidRPr="005D3A0B" w:rsidRDefault="0017525B" w:rsidP="00CA415A">
            <w:pPr>
              <w:spacing w:before="60" w:after="60"/>
              <w:rPr>
                <w:rFonts w:cs="Arial"/>
                <w:sz w:val="16"/>
                <w:lang w:eastAsia="en-US"/>
              </w:rPr>
            </w:pPr>
            <w:r w:rsidRPr="005D3A0B">
              <w:rPr>
                <w:rFonts w:cs="Arial"/>
                <w:sz w:val="16"/>
                <w:lang w:eastAsia="en-US"/>
              </w:rPr>
              <w:t>Supervisor</w:t>
            </w:r>
          </w:p>
        </w:tc>
        <w:tc>
          <w:tcPr>
            <w:tcW w:w="824" w:type="dxa"/>
            <w:shd w:val="clear" w:color="auto" w:fill="EDEDED" w:themeFill="accent3" w:themeFillTint="33"/>
            <w:vAlign w:val="center"/>
          </w:tcPr>
          <w:p w14:paraId="6DB0E19E" w14:textId="77777777" w:rsidR="0017525B" w:rsidRPr="005D3A0B" w:rsidRDefault="0017525B" w:rsidP="00CA415A">
            <w:pPr>
              <w:spacing w:before="60" w:after="60"/>
              <w:jc w:val="center"/>
              <w:rPr>
                <w:rFonts w:cs="Arial"/>
                <w:sz w:val="16"/>
                <w:lang w:eastAsia="en-US"/>
              </w:rPr>
            </w:pPr>
            <w:r w:rsidRPr="005D3A0B">
              <w:rPr>
                <w:rFonts w:cs="Arial"/>
                <w:sz w:val="18"/>
                <w:lang w:eastAsia="en-US"/>
              </w:rPr>
              <w:t xml:space="preserve">X </w:t>
            </w:r>
            <w:r w:rsidRPr="005D3A0B">
              <w:rPr>
                <w:rFonts w:cs="Arial"/>
                <w:sz w:val="12"/>
                <w:lang w:eastAsia="en-US"/>
              </w:rPr>
              <w:t>#</w:t>
            </w:r>
          </w:p>
        </w:tc>
        <w:tc>
          <w:tcPr>
            <w:tcW w:w="833" w:type="dxa"/>
            <w:shd w:val="clear" w:color="auto" w:fill="EDEDED" w:themeFill="accent3" w:themeFillTint="33"/>
            <w:vAlign w:val="center"/>
          </w:tcPr>
          <w:p w14:paraId="35CC5027"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12" w:type="dxa"/>
            <w:shd w:val="clear" w:color="auto" w:fill="EDEDED" w:themeFill="accent3" w:themeFillTint="33"/>
            <w:vAlign w:val="center"/>
          </w:tcPr>
          <w:p w14:paraId="7A2BB56A"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49" w:type="dxa"/>
            <w:vAlign w:val="center"/>
          </w:tcPr>
          <w:p w14:paraId="79DBAE1F"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12" w:type="dxa"/>
            <w:vAlign w:val="center"/>
          </w:tcPr>
          <w:p w14:paraId="7BB3DCF6"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49" w:type="dxa"/>
            <w:vAlign w:val="center"/>
          </w:tcPr>
          <w:p w14:paraId="3E30B364" w14:textId="77777777" w:rsidR="0017525B" w:rsidRPr="005D3A0B" w:rsidRDefault="0017525B" w:rsidP="00CA415A">
            <w:pPr>
              <w:spacing w:before="60" w:after="60"/>
              <w:jc w:val="center"/>
              <w:rPr>
                <w:rFonts w:cs="Arial"/>
                <w:sz w:val="18"/>
                <w:lang w:eastAsia="en-US"/>
              </w:rPr>
            </w:pPr>
          </w:p>
        </w:tc>
        <w:tc>
          <w:tcPr>
            <w:tcW w:w="812" w:type="dxa"/>
            <w:vAlign w:val="center"/>
          </w:tcPr>
          <w:p w14:paraId="6D5EDE10" w14:textId="77777777" w:rsidR="0017525B" w:rsidRPr="005D3A0B" w:rsidRDefault="0017525B" w:rsidP="00CA415A">
            <w:pPr>
              <w:spacing w:before="60" w:after="60"/>
              <w:jc w:val="center"/>
              <w:rPr>
                <w:rFonts w:cs="Arial"/>
                <w:sz w:val="18"/>
                <w:lang w:eastAsia="en-US"/>
              </w:rPr>
            </w:pPr>
          </w:p>
        </w:tc>
        <w:tc>
          <w:tcPr>
            <w:tcW w:w="849" w:type="dxa"/>
            <w:vAlign w:val="center"/>
          </w:tcPr>
          <w:p w14:paraId="6B7A0ABD" w14:textId="77777777" w:rsidR="0017525B" w:rsidRPr="005D3A0B" w:rsidRDefault="0017525B" w:rsidP="00CA415A">
            <w:pPr>
              <w:spacing w:before="60" w:after="60"/>
              <w:jc w:val="center"/>
              <w:rPr>
                <w:rFonts w:cs="Arial"/>
                <w:sz w:val="18"/>
                <w:lang w:eastAsia="en-US"/>
              </w:rPr>
            </w:pPr>
          </w:p>
        </w:tc>
        <w:tc>
          <w:tcPr>
            <w:tcW w:w="824" w:type="dxa"/>
            <w:vAlign w:val="center"/>
          </w:tcPr>
          <w:p w14:paraId="43FAE979" w14:textId="77777777" w:rsidR="0017525B" w:rsidRPr="005D3A0B" w:rsidRDefault="0017525B" w:rsidP="00CA415A">
            <w:pPr>
              <w:spacing w:before="60" w:after="60"/>
              <w:jc w:val="center"/>
              <w:rPr>
                <w:rFonts w:cs="Arial"/>
                <w:sz w:val="18"/>
                <w:lang w:eastAsia="en-US"/>
              </w:rPr>
            </w:pPr>
          </w:p>
        </w:tc>
      </w:tr>
      <w:tr w:rsidR="0017525B" w14:paraId="0D97A5F1" w14:textId="77777777" w:rsidTr="00CA415A">
        <w:trPr>
          <w:trHeight w:val="227"/>
        </w:trPr>
        <w:tc>
          <w:tcPr>
            <w:tcW w:w="1365" w:type="dxa"/>
          </w:tcPr>
          <w:p w14:paraId="04BCF7E3" w14:textId="77777777" w:rsidR="0017525B" w:rsidRPr="005D3A0B" w:rsidRDefault="0017525B" w:rsidP="00CA415A">
            <w:pPr>
              <w:spacing w:before="60" w:after="60"/>
              <w:jc w:val="left"/>
              <w:rPr>
                <w:rFonts w:cs="Arial"/>
                <w:sz w:val="16"/>
                <w:szCs w:val="16"/>
                <w:lang w:eastAsia="en-US"/>
              </w:rPr>
            </w:pPr>
            <w:r w:rsidRPr="005D3A0B">
              <w:rPr>
                <w:rFonts w:cs="Arial"/>
                <w:sz w:val="16"/>
                <w:szCs w:val="16"/>
                <w:lang w:eastAsia="en-US"/>
              </w:rPr>
              <w:t>HST Superintendent*</w:t>
            </w:r>
          </w:p>
        </w:tc>
        <w:tc>
          <w:tcPr>
            <w:tcW w:w="1169" w:type="dxa"/>
          </w:tcPr>
          <w:p w14:paraId="607E76FC" w14:textId="77777777" w:rsidR="0017525B" w:rsidRPr="005D3A0B" w:rsidRDefault="0017525B" w:rsidP="00CA415A">
            <w:pPr>
              <w:spacing w:before="60" w:after="60"/>
              <w:rPr>
                <w:rFonts w:cs="Arial"/>
                <w:sz w:val="16"/>
                <w:lang w:eastAsia="en-US"/>
              </w:rPr>
            </w:pPr>
            <w:r w:rsidRPr="005D3A0B">
              <w:rPr>
                <w:rFonts w:cs="Arial"/>
                <w:sz w:val="16"/>
                <w:lang w:eastAsia="en-US"/>
              </w:rPr>
              <w:t>Safety Advisor *</w:t>
            </w:r>
          </w:p>
        </w:tc>
        <w:tc>
          <w:tcPr>
            <w:tcW w:w="824" w:type="dxa"/>
            <w:vAlign w:val="center"/>
          </w:tcPr>
          <w:p w14:paraId="6EA7923D" w14:textId="77777777" w:rsidR="0017525B" w:rsidRPr="005D3A0B" w:rsidRDefault="0017525B" w:rsidP="00CA415A">
            <w:pPr>
              <w:spacing w:before="60" w:after="60"/>
              <w:jc w:val="center"/>
              <w:rPr>
                <w:rFonts w:cs="Arial"/>
                <w:sz w:val="16"/>
                <w:lang w:eastAsia="en-US"/>
              </w:rPr>
            </w:pPr>
          </w:p>
        </w:tc>
        <w:tc>
          <w:tcPr>
            <w:tcW w:w="833" w:type="dxa"/>
            <w:vAlign w:val="center"/>
          </w:tcPr>
          <w:p w14:paraId="2DA20F32" w14:textId="77777777" w:rsidR="0017525B" w:rsidRPr="005D3A0B" w:rsidRDefault="0017525B" w:rsidP="00CA415A">
            <w:pPr>
              <w:spacing w:before="60" w:after="60"/>
              <w:jc w:val="center"/>
              <w:rPr>
                <w:rFonts w:cs="Arial"/>
                <w:sz w:val="18"/>
                <w:lang w:eastAsia="en-US"/>
              </w:rPr>
            </w:pPr>
          </w:p>
        </w:tc>
        <w:tc>
          <w:tcPr>
            <w:tcW w:w="812" w:type="dxa"/>
            <w:vAlign w:val="center"/>
          </w:tcPr>
          <w:p w14:paraId="3D2DAD55" w14:textId="77777777" w:rsidR="0017525B" w:rsidRPr="005D3A0B" w:rsidRDefault="0017525B" w:rsidP="00CA415A">
            <w:pPr>
              <w:spacing w:before="60" w:after="60"/>
              <w:jc w:val="center"/>
              <w:rPr>
                <w:rFonts w:cs="Arial"/>
                <w:sz w:val="18"/>
                <w:lang w:eastAsia="en-US"/>
              </w:rPr>
            </w:pPr>
          </w:p>
        </w:tc>
        <w:tc>
          <w:tcPr>
            <w:tcW w:w="849" w:type="dxa"/>
            <w:shd w:val="clear" w:color="auto" w:fill="E2EFD9" w:themeFill="accent6" w:themeFillTint="33"/>
            <w:vAlign w:val="center"/>
          </w:tcPr>
          <w:p w14:paraId="1C5F6A40"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12" w:type="dxa"/>
            <w:shd w:val="clear" w:color="auto" w:fill="E2EFD9" w:themeFill="accent6" w:themeFillTint="33"/>
            <w:vAlign w:val="center"/>
          </w:tcPr>
          <w:p w14:paraId="137BE0F6"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49" w:type="dxa"/>
          </w:tcPr>
          <w:p w14:paraId="1271EA54" w14:textId="77777777" w:rsidR="0017525B" w:rsidRPr="005D3A0B" w:rsidRDefault="0017525B" w:rsidP="00CA415A">
            <w:pPr>
              <w:spacing w:before="60" w:after="60"/>
              <w:jc w:val="center"/>
              <w:rPr>
                <w:rFonts w:cs="Arial"/>
                <w:sz w:val="18"/>
                <w:lang w:eastAsia="en-US"/>
              </w:rPr>
            </w:pPr>
            <w:r w:rsidRPr="00980C03">
              <w:rPr>
                <w:rFonts w:cs="Arial"/>
                <w:sz w:val="18"/>
                <w:lang w:eastAsia="en-US"/>
              </w:rPr>
              <w:t>X</w:t>
            </w:r>
          </w:p>
        </w:tc>
        <w:tc>
          <w:tcPr>
            <w:tcW w:w="812" w:type="dxa"/>
          </w:tcPr>
          <w:p w14:paraId="37374B65" w14:textId="77777777" w:rsidR="0017525B" w:rsidRPr="005D3A0B" w:rsidRDefault="0017525B" w:rsidP="00CA415A">
            <w:pPr>
              <w:spacing w:before="60" w:after="60"/>
              <w:jc w:val="center"/>
              <w:rPr>
                <w:rFonts w:cs="Arial"/>
                <w:sz w:val="18"/>
                <w:lang w:eastAsia="en-US"/>
              </w:rPr>
            </w:pPr>
            <w:r w:rsidRPr="00980C03">
              <w:rPr>
                <w:rFonts w:cs="Arial"/>
                <w:sz w:val="18"/>
                <w:lang w:eastAsia="en-US"/>
              </w:rPr>
              <w:t>X</w:t>
            </w:r>
          </w:p>
        </w:tc>
        <w:tc>
          <w:tcPr>
            <w:tcW w:w="849" w:type="dxa"/>
            <w:vAlign w:val="center"/>
          </w:tcPr>
          <w:p w14:paraId="5F5421FA" w14:textId="77777777" w:rsidR="0017525B" w:rsidRPr="005D3A0B" w:rsidRDefault="0017525B" w:rsidP="00CA415A">
            <w:pPr>
              <w:spacing w:before="60" w:after="60"/>
              <w:jc w:val="center"/>
              <w:rPr>
                <w:rFonts w:cs="Arial"/>
                <w:sz w:val="18"/>
                <w:lang w:eastAsia="en-US"/>
              </w:rPr>
            </w:pPr>
          </w:p>
        </w:tc>
        <w:tc>
          <w:tcPr>
            <w:tcW w:w="824" w:type="dxa"/>
            <w:vAlign w:val="center"/>
          </w:tcPr>
          <w:p w14:paraId="39A86E2E" w14:textId="77777777" w:rsidR="0017525B" w:rsidRPr="005D3A0B" w:rsidRDefault="0017525B" w:rsidP="00CA415A">
            <w:pPr>
              <w:spacing w:before="60" w:after="60"/>
              <w:jc w:val="center"/>
              <w:rPr>
                <w:rFonts w:cs="Arial"/>
                <w:sz w:val="18"/>
                <w:lang w:eastAsia="en-US"/>
              </w:rPr>
            </w:pPr>
          </w:p>
        </w:tc>
      </w:tr>
      <w:tr w:rsidR="0017525B" w14:paraId="4F93E102" w14:textId="77777777" w:rsidTr="00CA415A">
        <w:trPr>
          <w:trHeight w:val="227"/>
        </w:trPr>
        <w:tc>
          <w:tcPr>
            <w:tcW w:w="1365" w:type="dxa"/>
          </w:tcPr>
          <w:p w14:paraId="0DC5D01E" w14:textId="77777777" w:rsidR="0017525B" w:rsidRPr="005D3A0B" w:rsidRDefault="0017525B" w:rsidP="00CA415A">
            <w:pPr>
              <w:spacing w:before="60" w:after="60"/>
              <w:jc w:val="left"/>
              <w:rPr>
                <w:rFonts w:cs="Arial"/>
                <w:sz w:val="16"/>
                <w:szCs w:val="16"/>
                <w:lang w:eastAsia="en-US"/>
              </w:rPr>
            </w:pPr>
            <w:r w:rsidRPr="005D3A0B">
              <w:rPr>
                <w:rFonts w:cs="Arial"/>
                <w:sz w:val="16"/>
                <w:szCs w:val="16"/>
                <w:lang w:eastAsia="en-US"/>
              </w:rPr>
              <w:t>Site Senior Executive</w:t>
            </w:r>
          </w:p>
        </w:tc>
        <w:tc>
          <w:tcPr>
            <w:tcW w:w="1169" w:type="dxa"/>
          </w:tcPr>
          <w:p w14:paraId="78CDBFE6" w14:textId="77777777" w:rsidR="0017525B" w:rsidRPr="005D3A0B" w:rsidRDefault="0017525B" w:rsidP="00CA415A">
            <w:pPr>
              <w:spacing w:before="60" w:after="60"/>
              <w:rPr>
                <w:rFonts w:cs="Arial"/>
                <w:sz w:val="16"/>
                <w:lang w:eastAsia="en-US"/>
              </w:rPr>
            </w:pPr>
            <w:r w:rsidRPr="005D3A0B">
              <w:rPr>
                <w:rFonts w:cs="Arial"/>
                <w:sz w:val="16"/>
                <w:lang w:eastAsia="en-US"/>
              </w:rPr>
              <w:t>HST Supt / External</w:t>
            </w:r>
          </w:p>
        </w:tc>
        <w:tc>
          <w:tcPr>
            <w:tcW w:w="824" w:type="dxa"/>
            <w:vAlign w:val="center"/>
          </w:tcPr>
          <w:p w14:paraId="0847D2D1" w14:textId="77777777" w:rsidR="0017525B" w:rsidRPr="005D3A0B" w:rsidRDefault="0017525B" w:rsidP="00CA415A">
            <w:pPr>
              <w:spacing w:before="60" w:after="60"/>
              <w:jc w:val="center"/>
              <w:rPr>
                <w:rFonts w:cs="Arial"/>
                <w:sz w:val="16"/>
                <w:lang w:eastAsia="en-US"/>
              </w:rPr>
            </w:pPr>
          </w:p>
        </w:tc>
        <w:tc>
          <w:tcPr>
            <w:tcW w:w="833" w:type="dxa"/>
            <w:vAlign w:val="center"/>
          </w:tcPr>
          <w:p w14:paraId="466F63EF" w14:textId="77777777" w:rsidR="0017525B" w:rsidRPr="005D3A0B" w:rsidRDefault="0017525B" w:rsidP="00CA415A">
            <w:pPr>
              <w:spacing w:before="60" w:after="60"/>
              <w:jc w:val="center"/>
              <w:rPr>
                <w:rFonts w:cs="Arial"/>
                <w:sz w:val="18"/>
                <w:lang w:eastAsia="en-US"/>
              </w:rPr>
            </w:pPr>
          </w:p>
        </w:tc>
        <w:tc>
          <w:tcPr>
            <w:tcW w:w="812" w:type="dxa"/>
            <w:vAlign w:val="center"/>
          </w:tcPr>
          <w:p w14:paraId="3A5990A8" w14:textId="77777777" w:rsidR="0017525B" w:rsidRPr="005D3A0B" w:rsidRDefault="0017525B" w:rsidP="00CA415A">
            <w:pPr>
              <w:spacing w:before="60" w:after="60"/>
              <w:jc w:val="center"/>
              <w:rPr>
                <w:rFonts w:cs="Arial"/>
                <w:sz w:val="18"/>
                <w:lang w:eastAsia="en-US"/>
              </w:rPr>
            </w:pPr>
          </w:p>
        </w:tc>
        <w:tc>
          <w:tcPr>
            <w:tcW w:w="849" w:type="dxa"/>
            <w:vAlign w:val="center"/>
          </w:tcPr>
          <w:p w14:paraId="190F45CA" w14:textId="77777777" w:rsidR="0017525B" w:rsidRPr="005D3A0B" w:rsidRDefault="0017525B" w:rsidP="00CA415A">
            <w:pPr>
              <w:spacing w:before="60" w:after="60"/>
              <w:jc w:val="center"/>
              <w:rPr>
                <w:rFonts w:cs="Arial"/>
                <w:sz w:val="18"/>
                <w:lang w:eastAsia="en-US"/>
              </w:rPr>
            </w:pPr>
          </w:p>
        </w:tc>
        <w:tc>
          <w:tcPr>
            <w:tcW w:w="812" w:type="dxa"/>
            <w:vAlign w:val="center"/>
          </w:tcPr>
          <w:p w14:paraId="79F5182B" w14:textId="77777777" w:rsidR="0017525B" w:rsidRPr="005D3A0B" w:rsidRDefault="0017525B" w:rsidP="00CA415A">
            <w:pPr>
              <w:spacing w:before="60" w:after="60"/>
              <w:jc w:val="center"/>
              <w:rPr>
                <w:rFonts w:cs="Arial"/>
                <w:sz w:val="18"/>
                <w:lang w:eastAsia="en-US"/>
              </w:rPr>
            </w:pPr>
          </w:p>
        </w:tc>
        <w:tc>
          <w:tcPr>
            <w:tcW w:w="849" w:type="dxa"/>
            <w:shd w:val="clear" w:color="auto" w:fill="FBE4D5" w:themeFill="accent2" w:themeFillTint="33"/>
            <w:vAlign w:val="center"/>
          </w:tcPr>
          <w:p w14:paraId="4AAD15E4"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12" w:type="dxa"/>
            <w:shd w:val="clear" w:color="auto" w:fill="FBE4D5" w:themeFill="accent2" w:themeFillTint="33"/>
            <w:vAlign w:val="center"/>
          </w:tcPr>
          <w:p w14:paraId="6D2DB7CC"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49" w:type="dxa"/>
            <w:shd w:val="clear" w:color="auto" w:fill="FBE4D5" w:themeFill="accent2" w:themeFillTint="33"/>
            <w:vAlign w:val="center"/>
          </w:tcPr>
          <w:p w14:paraId="0DF10380"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c>
          <w:tcPr>
            <w:tcW w:w="824" w:type="dxa"/>
            <w:shd w:val="clear" w:color="auto" w:fill="FBE4D5" w:themeFill="accent2" w:themeFillTint="33"/>
            <w:vAlign w:val="center"/>
          </w:tcPr>
          <w:p w14:paraId="721FF8AC" w14:textId="77777777" w:rsidR="0017525B" w:rsidRPr="005D3A0B" w:rsidRDefault="0017525B" w:rsidP="00CA415A">
            <w:pPr>
              <w:spacing w:before="60" w:after="60"/>
              <w:jc w:val="center"/>
              <w:rPr>
                <w:rFonts w:cs="Arial"/>
                <w:sz w:val="18"/>
                <w:lang w:eastAsia="en-US"/>
              </w:rPr>
            </w:pPr>
            <w:r w:rsidRPr="005D3A0B">
              <w:rPr>
                <w:rFonts w:cs="Arial"/>
                <w:sz w:val="18"/>
                <w:lang w:eastAsia="en-US"/>
              </w:rPr>
              <w:t>X</w:t>
            </w:r>
          </w:p>
        </w:tc>
      </w:tr>
    </w:tbl>
    <w:p w14:paraId="772BF3BF" w14:textId="77777777" w:rsidR="0017525B" w:rsidRDefault="0017525B" w:rsidP="0017525B">
      <w:pPr>
        <w:pStyle w:val="Body"/>
      </w:pPr>
      <w:r>
        <w:t xml:space="preserve">* </w:t>
      </w:r>
      <w:r w:rsidRPr="00EE2B8A">
        <w:t>Or environmental department equivalent</w:t>
      </w:r>
    </w:p>
    <w:p w14:paraId="6C32E769" w14:textId="77777777" w:rsidR="0017525B" w:rsidRPr="002E7EFF" w:rsidRDefault="0017525B" w:rsidP="0017525B">
      <w:pPr>
        <w:pStyle w:val="Body"/>
      </w:pPr>
      <w:r>
        <w:t># Level 1 Injuries shall be managed and reported by the Paramedic</w:t>
      </w:r>
    </w:p>
    <w:p w14:paraId="77E49F40" w14:textId="77777777" w:rsidR="0017525B" w:rsidRPr="00876580" w:rsidRDefault="0017525B" w:rsidP="0017525B">
      <w:pPr>
        <w:keepNext/>
        <w:numPr>
          <w:ilvl w:val="2"/>
          <w:numId w:val="4"/>
        </w:numPr>
        <w:tabs>
          <w:tab w:val="left" w:pos="1134"/>
        </w:tabs>
        <w:spacing w:before="240" w:after="60"/>
        <w:jc w:val="left"/>
        <w:outlineLvl w:val="2"/>
        <w:rPr>
          <w:rFonts w:cs="Arial"/>
          <w:b/>
          <w:bCs/>
          <w:szCs w:val="22"/>
          <w:lang w:eastAsia="x-none"/>
        </w:rPr>
      </w:pPr>
      <w:bookmarkStart w:id="34" w:name="_Toc536616908"/>
      <w:bookmarkStart w:id="35" w:name="_Toc10737599"/>
      <w:r w:rsidRPr="00BF61F5">
        <w:rPr>
          <w:rFonts w:cs="Arial"/>
          <w:b/>
          <w:bCs/>
          <w:szCs w:val="22"/>
          <w:lang w:eastAsia="x-none"/>
        </w:rPr>
        <w:t>Step 5</w:t>
      </w:r>
      <w:r>
        <w:rPr>
          <w:rFonts w:cs="Arial"/>
          <w:b/>
          <w:bCs/>
          <w:szCs w:val="22"/>
          <w:lang w:eastAsia="x-none"/>
        </w:rPr>
        <w:t>:</w:t>
      </w:r>
      <w:r w:rsidRPr="00BF61F5">
        <w:rPr>
          <w:rFonts w:cs="Arial"/>
          <w:b/>
          <w:bCs/>
          <w:szCs w:val="22"/>
          <w:lang w:eastAsia="x-none"/>
        </w:rPr>
        <w:t xml:space="preserve"> Data </w:t>
      </w:r>
      <w:bookmarkEnd w:id="34"/>
      <w:bookmarkEnd w:id="35"/>
      <w:r>
        <w:rPr>
          <w:rFonts w:cs="Arial"/>
          <w:b/>
          <w:bCs/>
          <w:szCs w:val="22"/>
          <w:lang w:eastAsia="x-none"/>
        </w:rPr>
        <w:t>Collection</w:t>
      </w:r>
    </w:p>
    <w:p w14:paraId="18BE610C" w14:textId="77777777" w:rsidR="0017525B" w:rsidRPr="00BF61F5" w:rsidRDefault="0017525B" w:rsidP="0017525B">
      <w:pPr>
        <w:spacing w:before="120" w:after="120"/>
        <w:ind w:left="567"/>
        <w:rPr>
          <w:lang w:eastAsia="x-none"/>
        </w:rPr>
      </w:pPr>
      <w:r w:rsidRPr="00BF61F5">
        <w:rPr>
          <w:lang w:eastAsia="x-none"/>
        </w:rPr>
        <w:t xml:space="preserve">Data collection is a critical part of any investigation. It is important to ensure that all relevant information is collected and that the information is accurate. </w:t>
      </w:r>
    </w:p>
    <w:p w14:paraId="5A9DDA81" w14:textId="77777777" w:rsidR="0017525B" w:rsidRPr="00BF61F5" w:rsidRDefault="0017525B" w:rsidP="0017525B">
      <w:pPr>
        <w:spacing w:before="120" w:after="120"/>
        <w:ind w:left="567"/>
        <w:rPr>
          <w:lang w:eastAsia="x-none"/>
        </w:rPr>
      </w:pPr>
      <w:r w:rsidRPr="00BF61F5">
        <w:rPr>
          <w:lang w:eastAsia="x-none"/>
        </w:rPr>
        <w:t xml:space="preserve">Gather as much evidence as quickly as possible. It is easier to discount an item, than to capture or reconstruct it later. </w:t>
      </w:r>
    </w:p>
    <w:p w14:paraId="74D47C33" w14:textId="77777777" w:rsidR="0017525B" w:rsidRPr="00BF61F5" w:rsidRDefault="0017525B" w:rsidP="0017525B">
      <w:pPr>
        <w:spacing w:before="120" w:after="120"/>
        <w:ind w:left="567"/>
        <w:rPr>
          <w:lang w:eastAsia="x-none"/>
        </w:rPr>
      </w:pPr>
      <w:r w:rsidRPr="00BF61F5">
        <w:rPr>
          <w:lang w:eastAsia="x-none"/>
        </w:rPr>
        <w:t>There are five major steps that shall be followed in gathering evidence:</w:t>
      </w:r>
    </w:p>
    <w:p w14:paraId="16AD9B9A"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lastRenderedPageBreak/>
        <w:t xml:space="preserve">Collecting human testimonial evidence – locating and interviewing witnesses; </w:t>
      </w:r>
    </w:p>
    <w:p w14:paraId="1D372C27"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Collecting physical evidence – identifying, documenting, inspecting, and preserving relevant matter (e.g. equipment, parts, debris, hardware, and other physical items);</w:t>
      </w:r>
    </w:p>
    <w:p w14:paraId="68A59966"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Collecting documentary evidence (e.g. paper and electronic information, such as records, reports, procedures, and documentation);</w:t>
      </w:r>
    </w:p>
    <w:p w14:paraId="33FAD7F7"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Examining organisational factors, management systems and management factors; and</w:t>
      </w:r>
    </w:p>
    <w:p w14:paraId="393BE683"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Preserving and controlling evidence.</w:t>
      </w:r>
    </w:p>
    <w:p w14:paraId="4A0709E1" w14:textId="77777777" w:rsidR="0017525B" w:rsidRDefault="0017525B" w:rsidP="0017525B">
      <w:pPr>
        <w:pStyle w:val="Body"/>
      </w:pPr>
      <w:r>
        <w:t>Evidence is collected and organised using PEEPO categories of;</w:t>
      </w:r>
    </w:p>
    <w:p w14:paraId="0B12D1DC" w14:textId="77777777" w:rsidR="0017525B" w:rsidRDefault="0017525B" w:rsidP="004279CE">
      <w:pPr>
        <w:pStyle w:val="Body"/>
        <w:numPr>
          <w:ilvl w:val="1"/>
          <w:numId w:val="13"/>
        </w:numPr>
        <w:spacing w:before="60" w:after="60" w:line="300" w:lineRule="auto"/>
      </w:pPr>
      <w:r>
        <w:t>People</w:t>
      </w:r>
    </w:p>
    <w:p w14:paraId="6C09A595" w14:textId="77777777" w:rsidR="0017525B" w:rsidRDefault="0017525B" w:rsidP="004279CE">
      <w:pPr>
        <w:pStyle w:val="Body"/>
        <w:numPr>
          <w:ilvl w:val="1"/>
          <w:numId w:val="13"/>
        </w:numPr>
        <w:spacing w:before="60" w:after="60" w:line="300" w:lineRule="auto"/>
      </w:pPr>
      <w:r>
        <w:t>Environment</w:t>
      </w:r>
    </w:p>
    <w:p w14:paraId="49223BF7" w14:textId="77777777" w:rsidR="0017525B" w:rsidRDefault="0017525B" w:rsidP="004279CE">
      <w:pPr>
        <w:pStyle w:val="Body"/>
        <w:numPr>
          <w:ilvl w:val="1"/>
          <w:numId w:val="13"/>
        </w:numPr>
        <w:spacing w:before="60" w:after="60" w:line="300" w:lineRule="auto"/>
      </w:pPr>
      <w:r>
        <w:t>Equipment</w:t>
      </w:r>
    </w:p>
    <w:p w14:paraId="41634FDE" w14:textId="77777777" w:rsidR="0017525B" w:rsidRDefault="0017525B" w:rsidP="004279CE">
      <w:pPr>
        <w:pStyle w:val="Body"/>
        <w:numPr>
          <w:ilvl w:val="1"/>
          <w:numId w:val="13"/>
        </w:numPr>
        <w:spacing w:before="60" w:after="60" w:line="300" w:lineRule="auto"/>
      </w:pPr>
      <w:r>
        <w:t>Procedures</w:t>
      </w:r>
    </w:p>
    <w:p w14:paraId="19FBC906" w14:textId="77777777" w:rsidR="0017525B" w:rsidRDefault="0017525B" w:rsidP="004279CE">
      <w:pPr>
        <w:pStyle w:val="Body"/>
        <w:numPr>
          <w:ilvl w:val="1"/>
          <w:numId w:val="13"/>
        </w:numPr>
        <w:spacing w:before="60" w:after="60" w:line="300" w:lineRule="auto"/>
      </w:pPr>
      <w:r>
        <w:t>Organisation</w:t>
      </w:r>
    </w:p>
    <w:p w14:paraId="6B5BA8B2" w14:textId="77777777" w:rsidR="0017525B" w:rsidRPr="00BF61F5" w:rsidRDefault="0017525B" w:rsidP="0017525B">
      <w:pPr>
        <w:keepNext/>
        <w:numPr>
          <w:ilvl w:val="2"/>
          <w:numId w:val="4"/>
        </w:numPr>
        <w:tabs>
          <w:tab w:val="left" w:pos="1134"/>
        </w:tabs>
        <w:spacing w:before="240" w:after="60"/>
        <w:jc w:val="left"/>
        <w:outlineLvl w:val="2"/>
        <w:rPr>
          <w:rFonts w:cs="Arial"/>
          <w:b/>
          <w:bCs/>
          <w:szCs w:val="22"/>
          <w:lang w:eastAsia="x-none"/>
        </w:rPr>
      </w:pPr>
      <w:bookmarkStart w:id="36" w:name="_Toc536616909"/>
      <w:bookmarkStart w:id="37" w:name="_Toc10737600"/>
      <w:r w:rsidRPr="00BF61F5">
        <w:rPr>
          <w:rFonts w:cs="Arial"/>
          <w:b/>
          <w:bCs/>
          <w:szCs w:val="22"/>
          <w:lang w:eastAsia="x-none"/>
        </w:rPr>
        <w:t>Step 6</w:t>
      </w:r>
      <w:r>
        <w:rPr>
          <w:rFonts w:cs="Arial"/>
          <w:b/>
          <w:bCs/>
          <w:szCs w:val="22"/>
          <w:lang w:eastAsia="x-none"/>
        </w:rPr>
        <w:t>:</w:t>
      </w:r>
      <w:r w:rsidRPr="00BF61F5">
        <w:rPr>
          <w:rFonts w:cs="Arial"/>
          <w:b/>
          <w:bCs/>
          <w:szCs w:val="22"/>
          <w:lang w:eastAsia="x-none"/>
        </w:rPr>
        <w:t xml:space="preserve"> Data </w:t>
      </w:r>
      <w:r>
        <w:rPr>
          <w:rFonts w:cs="Arial"/>
          <w:b/>
          <w:bCs/>
          <w:szCs w:val="22"/>
          <w:lang w:eastAsia="x-none"/>
        </w:rPr>
        <w:t>Organisation</w:t>
      </w:r>
      <w:bookmarkEnd w:id="36"/>
      <w:bookmarkEnd w:id="37"/>
    </w:p>
    <w:p w14:paraId="36639360" w14:textId="77777777" w:rsidR="0017525B" w:rsidRPr="0041020F" w:rsidRDefault="0017525B" w:rsidP="0017525B">
      <w:pPr>
        <w:spacing w:before="120" w:after="120"/>
        <w:ind w:left="567"/>
        <w:rPr>
          <w:lang w:eastAsia="x-none"/>
        </w:rPr>
      </w:pPr>
      <w:r w:rsidRPr="0041020F">
        <w:rPr>
          <w:lang w:eastAsia="x-none"/>
        </w:rPr>
        <w:t>Evidence must be organised logically and sequential</w:t>
      </w:r>
      <w:r>
        <w:rPr>
          <w:lang w:eastAsia="x-none"/>
        </w:rPr>
        <w:t>ly in preparation for analysis.</w:t>
      </w:r>
    </w:p>
    <w:p w14:paraId="25199422" w14:textId="77777777" w:rsidR="0017525B" w:rsidRPr="0041020F" w:rsidRDefault="0017525B" w:rsidP="0017525B">
      <w:pPr>
        <w:spacing w:before="120" w:after="120"/>
        <w:ind w:left="567"/>
        <w:rPr>
          <w:lang w:eastAsia="x-none"/>
        </w:rPr>
      </w:pPr>
      <w:r w:rsidRPr="0041020F">
        <w:rPr>
          <w:lang w:eastAsia="x-none"/>
        </w:rPr>
        <w:t>The ICAM time line including 5 Why’s Flow Chart is the preferred method as the 5 Why’s allows for the investigator to identify contributing factors related to specific events.</w:t>
      </w:r>
    </w:p>
    <w:p w14:paraId="6154900D" w14:textId="77777777" w:rsidR="0017525B" w:rsidRPr="00BF61F5" w:rsidRDefault="0017525B" w:rsidP="0017525B">
      <w:pPr>
        <w:spacing w:before="120" w:after="120"/>
        <w:ind w:left="567"/>
        <w:rPr>
          <w:lang w:eastAsia="x-none"/>
        </w:rPr>
      </w:pPr>
      <w:r w:rsidRPr="00BF61F5">
        <w:rPr>
          <w:lang w:eastAsia="x-none"/>
        </w:rPr>
        <w:t xml:space="preserve">Incidents rarely result from a single cause. Causal factors leading to an incident should be identified. </w:t>
      </w:r>
    </w:p>
    <w:p w14:paraId="0427294E" w14:textId="77777777" w:rsidR="0017525B" w:rsidRPr="00BF61F5" w:rsidRDefault="0017525B" w:rsidP="0017525B">
      <w:pPr>
        <w:spacing w:before="120" w:after="120"/>
        <w:ind w:left="567"/>
        <w:rPr>
          <w:lang w:eastAsia="x-none"/>
        </w:rPr>
      </w:pPr>
      <w:r w:rsidRPr="00BF61F5">
        <w:rPr>
          <w:lang w:eastAsia="x-none"/>
        </w:rPr>
        <w:t>Identifying causal factors is a continuous process performed throughout the investigation. Using a graphical display of the incident's chronology, can help organise evidence of the incident's sequence of events.</w:t>
      </w:r>
    </w:p>
    <w:p w14:paraId="6D683BFF" w14:textId="77777777" w:rsidR="0017525B" w:rsidRPr="00BF61F5" w:rsidRDefault="0017525B" w:rsidP="0017525B">
      <w:pPr>
        <w:spacing w:before="120" w:after="120"/>
        <w:ind w:left="567"/>
        <w:rPr>
          <w:lang w:eastAsia="x-none"/>
        </w:rPr>
      </w:pPr>
      <w:r w:rsidRPr="00BF61F5">
        <w:rPr>
          <w:lang w:eastAsia="x-none"/>
        </w:rPr>
        <w:t>Causal factors are the events and conditions that produced or contributed to the occurrence of the incident.</w:t>
      </w:r>
    </w:p>
    <w:p w14:paraId="52D29B59" w14:textId="77777777" w:rsidR="0017525B" w:rsidRDefault="0017525B" w:rsidP="0017525B">
      <w:pPr>
        <w:keepNext/>
        <w:numPr>
          <w:ilvl w:val="2"/>
          <w:numId w:val="4"/>
        </w:numPr>
        <w:tabs>
          <w:tab w:val="left" w:pos="1134"/>
        </w:tabs>
        <w:spacing w:before="240" w:after="60"/>
        <w:jc w:val="left"/>
        <w:outlineLvl w:val="2"/>
        <w:rPr>
          <w:rFonts w:cs="Arial"/>
          <w:b/>
          <w:bCs/>
          <w:szCs w:val="22"/>
          <w:lang w:eastAsia="x-none"/>
        </w:rPr>
      </w:pPr>
      <w:bookmarkStart w:id="38" w:name="_Toc536616910"/>
      <w:bookmarkStart w:id="39" w:name="_Toc10737601"/>
      <w:r>
        <w:rPr>
          <w:rFonts w:cs="Arial"/>
          <w:b/>
          <w:bCs/>
          <w:szCs w:val="22"/>
          <w:lang w:eastAsia="x-none"/>
        </w:rPr>
        <w:t>Step 7: Data Analysis:</w:t>
      </w:r>
    </w:p>
    <w:p w14:paraId="749E8CF4" w14:textId="77777777" w:rsidR="0017525B" w:rsidRDefault="0017525B" w:rsidP="0017525B">
      <w:pPr>
        <w:pStyle w:val="Body"/>
        <w:ind w:left="927"/>
      </w:pPr>
      <w:r>
        <w:t>The investigator/team must identify the facts from the data collected and determine those facts that are relevant to the incident and contributed to the occurrence of the incident, those that are relevant but did not contribute to the occurrence of the incident and those that are not relevant to the incident. The data is to be classified into one of the following ICAM categories:</w:t>
      </w:r>
    </w:p>
    <w:p w14:paraId="019274DD" w14:textId="77777777" w:rsidR="0017525B" w:rsidRPr="007E06C8" w:rsidRDefault="0017525B" w:rsidP="004279CE">
      <w:pPr>
        <w:pStyle w:val="Body"/>
        <w:numPr>
          <w:ilvl w:val="1"/>
          <w:numId w:val="13"/>
        </w:numPr>
        <w:spacing w:before="60" w:after="60" w:line="300" w:lineRule="auto"/>
      </w:pPr>
      <w:r w:rsidRPr="007E06C8">
        <w:t>Absent/Failed Defences</w:t>
      </w:r>
    </w:p>
    <w:p w14:paraId="6A99FE73" w14:textId="77777777" w:rsidR="0017525B" w:rsidRPr="007E06C8" w:rsidRDefault="0017525B" w:rsidP="004279CE">
      <w:pPr>
        <w:pStyle w:val="Body"/>
        <w:numPr>
          <w:ilvl w:val="1"/>
          <w:numId w:val="13"/>
        </w:numPr>
        <w:spacing w:before="60" w:after="60" w:line="300" w:lineRule="auto"/>
      </w:pPr>
      <w:r w:rsidRPr="007E06C8">
        <w:t>Individual/Team Actions</w:t>
      </w:r>
    </w:p>
    <w:p w14:paraId="30C37C83" w14:textId="77777777" w:rsidR="0017525B" w:rsidRPr="007E06C8" w:rsidRDefault="0017525B" w:rsidP="004279CE">
      <w:pPr>
        <w:pStyle w:val="Body"/>
        <w:numPr>
          <w:ilvl w:val="1"/>
          <w:numId w:val="13"/>
        </w:numPr>
        <w:spacing w:before="60" w:after="60" w:line="300" w:lineRule="auto"/>
      </w:pPr>
      <w:r w:rsidRPr="007E06C8">
        <w:t>Task/Environmental Conditions</w:t>
      </w:r>
    </w:p>
    <w:p w14:paraId="568C80C2" w14:textId="77777777" w:rsidR="0017525B" w:rsidRPr="007E06C8" w:rsidRDefault="0017525B" w:rsidP="004279CE">
      <w:pPr>
        <w:pStyle w:val="Body"/>
        <w:numPr>
          <w:ilvl w:val="1"/>
          <w:numId w:val="13"/>
        </w:numPr>
        <w:spacing w:before="60" w:after="60" w:line="300" w:lineRule="auto"/>
      </w:pPr>
      <w:r w:rsidRPr="007E06C8">
        <w:t>Organisational Factors</w:t>
      </w:r>
    </w:p>
    <w:p w14:paraId="67348424" w14:textId="77777777" w:rsidR="0017525B" w:rsidRPr="007E06C8" w:rsidRDefault="0017525B" w:rsidP="004279CE">
      <w:pPr>
        <w:pStyle w:val="Body"/>
        <w:numPr>
          <w:ilvl w:val="1"/>
          <w:numId w:val="13"/>
        </w:numPr>
        <w:spacing w:before="60" w:after="60" w:line="300" w:lineRule="auto"/>
      </w:pPr>
      <w:r w:rsidRPr="007E06C8">
        <w:t>Non-Contributing factors</w:t>
      </w:r>
    </w:p>
    <w:p w14:paraId="64BE47F8" w14:textId="77777777" w:rsidR="0017525B" w:rsidRPr="00BF61F5" w:rsidRDefault="0017525B" w:rsidP="0017525B">
      <w:pPr>
        <w:keepNext/>
        <w:numPr>
          <w:ilvl w:val="2"/>
          <w:numId w:val="4"/>
        </w:numPr>
        <w:tabs>
          <w:tab w:val="left" w:pos="1134"/>
        </w:tabs>
        <w:spacing w:before="240" w:after="60"/>
        <w:jc w:val="left"/>
        <w:outlineLvl w:val="2"/>
        <w:rPr>
          <w:rFonts w:cs="Arial"/>
          <w:b/>
          <w:bCs/>
          <w:szCs w:val="22"/>
          <w:lang w:eastAsia="x-none"/>
        </w:rPr>
      </w:pPr>
      <w:r w:rsidRPr="00BF61F5">
        <w:rPr>
          <w:rFonts w:cs="Arial"/>
          <w:b/>
          <w:bCs/>
          <w:szCs w:val="22"/>
          <w:lang w:eastAsia="x-none"/>
        </w:rPr>
        <w:lastRenderedPageBreak/>
        <w:t xml:space="preserve">Step </w:t>
      </w:r>
      <w:r>
        <w:rPr>
          <w:rFonts w:cs="Arial"/>
          <w:b/>
          <w:bCs/>
          <w:szCs w:val="22"/>
          <w:lang w:eastAsia="x-none"/>
        </w:rPr>
        <w:t>8:</w:t>
      </w:r>
      <w:r w:rsidRPr="00BF61F5">
        <w:rPr>
          <w:rFonts w:cs="Arial"/>
          <w:b/>
          <w:bCs/>
          <w:szCs w:val="22"/>
          <w:lang w:eastAsia="x-none"/>
        </w:rPr>
        <w:t xml:space="preserve"> Conclusions and </w:t>
      </w:r>
      <w:r>
        <w:rPr>
          <w:rFonts w:cs="Arial"/>
          <w:b/>
          <w:bCs/>
          <w:szCs w:val="22"/>
          <w:lang w:eastAsia="x-none"/>
        </w:rPr>
        <w:t>Corrective</w:t>
      </w:r>
      <w:r w:rsidRPr="00BF61F5">
        <w:rPr>
          <w:rFonts w:cs="Arial"/>
          <w:b/>
          <w:bCs/>
          <w:szCs w:val="22"/>
          <w:lang w:eastAsia="x-none"/>
        </w:rPr>
        <w:t xml:space="preserve"> Actions (Recommendations)</w:t>
      </w:r>
      <w:bookmarkEnd w:id="38"/>
      <w:bookmarkEnd w:id="39"/>
    </w:p>
    <w:p w14:paraId="72DBEEB3" w14:textId="77777777" w:rsidR="0017525B" w:rsidRPr="0041020F" w:rsidRDefault="0017525B" w:rsidP="0017525B">
      <w:pPr>
        <w:spacing w:before="120" w:after="120"/>
        <w:ind w:left="567"/>
        <w:rPr>
          <w:lang w:eastAsia="x-none"/>
        </w:rPr>
      </w:pPr>
      <w:r w:rsidRPr="0041020F">
        <w:rPr>
          <w:lang w:eastAsia="x-none"/>
        </w:rPr>
        <w:t xml:space="preserve">The </w:t>
      </w:r>
      <w:r>
        <w:rPr>
          <w:lang w:eastAsia="x-none"/>
        </w:rPr>
        <w:t>investigator/</w:t>
      </w:r>
      <w:r w:rsidRPr="0041020F">
        <w:rPr>
          <w:lang w:eastAsia="x-none"/>
        </w:rPr>
        <w:t>team reviews the collected data and each contributing factor and underlying cause and;</w:t>
      </w:r>
    </w:p>
    <w:p w14:paraId="7A6141A9" w14:textId="77777777" w:rsidR="0017525B" w:rsidRPr="0041020F" w:rsidRDefault="0017525B" w:rsidP="004279CE">
      <w:pPr>
        <w:numPr>
          <w:ilvl w:val="0"/>
          <w:numId w:val="14"/>
        </w:numPr>
        <w:spacing w:before="120" w:after="120"/>
        <w:rPr>
          <w:lang w:eastAsia="x-none"/>
        </w:rPr>
      </w:pPr>
      <w:r w:rsidRPr="0041020F">
        <w:rPr>
          <w:lang w:eastAsia="x-none"/>
        </w:rPr>
        <w:t>Formulates recommendations which, if implemented, will eliminate or reduce the risk of recurrence of that contributing factor</w:t>
      </w:r>
    </w:p>
    <w:p w14:paraId="0020DB52" w14:textId="77777777" w:rsidR="0017525B" w:rsidRPr="0041020F" w:rsidRDefault="0017525B" w:rsidP="004279CE">
      <w:pPr>
        <w:numPr>
          <w:ilvl w:val="0"/>
          <w:numId w:val="14"/>
        </w:numPr>
        <w:spacing w:before="120" w:after="120"/>
        <w:rPr>
          <w:lang w:eastAsia="x-none"/>
        </w:rPr>
      </w:pPr>
      <w:r w:rsidRPr="0041020F">
        <w:rPr>
          <w:lang w:eastAsia="x-none"/>
        </w:rPr>
        <w:t>Recommends improvement of the defences to limit the consequences of the hazards so that the risk is accepted by management as a tolerable risk</w:t>
      </w:r>
    </w:p>
    <w:p w14:paraId="078A9410" w14:textId="77777777" w:rsidR="0017525B" w:rsidRPr="0041020F" w:rsidRDefault="0017525B" w:rsidP="004279CE">
      <w:pPr>
        <w:numPr>
          <w:ilvl w:val="0"/>
          <w:numId w:val="14"/>
        </w:numPr>
        <w:spacing w:before="120" w:after="120"/>
        <w:rPr>
          <w:lang w:eastAsia="x-none"/>
        </w:rPr>
      </w:pPr>
      <w:r w:rsidRPr="0041020F">
        <w:rPr>
          <w:lang w:eastAsia="x-none"/>
        </w:rPr>
        <w:t>Makes interim recommendations for preventive and corrective action that may be made immediately after an incident or near miss as a short-term measure to mitigate current risks prior to the establishment of long-term corrective actions</w:t>
      </w:r>
    </w:p>
    <w:p w14:paraId="6A5ED0ED" w14:textId="77777777" w:rsidR="0017525B" w:rsidRPr="0041020F" w:rsidRDefault="0017525B" w:rsidP="004279CE">
      <w:pPr>
        <w:numPr>
          <w:ilvl w:val="0"/>
          <w:numId w:val="14"/>
        </w:numPr>
        <w:spacing w:before="120" w:after="120"/>
        <w:rPr>
          <w:lang w:eastAsia="x-none"/>
        </w:rPr>
      </w:pPr>
      <w:r w:rsidRPr="0041020F">
        <w:rPr>
          <w:lang w:eastAsia="x-none"/>
        </w:rPr>
        <w:t>Ensures any corrective action is fully evaluated to ensure change/s do not weaken other defences or introduce other hazards</w:t>
      </w:r>
    </w:p>
    <w:p w14:paraId="5281F545" w14:textId="77777777" w:rsidR="0017525B" w:rsidRPr="0041020F" w:rsidRDefault="0017525B" w:rsidP="0017525B">
      <w:pPr>
        <w:spacing w:before="120" w:after="120"/>
        <w:ind w:left="567"/>
        <w:rPr>
          <w:lang w:eastAsia="x-none"/>
        </w:rPr>
      </w:pPr>
      <w:r w:rsidRPr="0041020F">
        <w:rPr>
          <w:lang w:eastAsia="x-none"/>
        </w:rPr>
        <w:t>Note: Not all contributing factors can be eliminated and some only at prohibitive cost, the team should take this into account when developing control measures.</w:t>
      </w:r>
    </w:p>
    <w:p w14:paraId="5EAB392C" w14:textId="77777777" w:rsidR="0017525B" w:rsidRPr="00BF61F5" w:rsidRDefault="0017525B" w:rsidP="0017525B">
      <w:pPr>
        <w:spacing w:before="120" w:after="120"/>
        <w:ind w:left="567"/>
        <w:rPr>
          <w:lang w:eastAsia="x-none"/>
        </w:rPr>
      </w:pPr>
      <w:r w:rsidRPr="00BF61F5">
        <w:rPr>
          <w:lang w:eastAsia="x-none"/>
        </w:rPr>
        <w:t xml:space="preserve">Preventive Actions should be linked to causal factors and logically flow from the conclusions. They should be: </w:t>
      </w:r>
    </w:p>
    <w:p w14:paraId="69BD3668"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Stated in a clear, concise, and direct manner;</w:t>
      </w:r>
    </w:p>
    <w:p w14:paraId="1ADD236D"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Based on the facts/evidence; and</w:t>
      </w:r>
    </w:p>
    <w:p w14:paraId="30A4D8CD"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Stated so that they can be the basis for preventative action plans. </w:t>
      </w:r>
    </w:p>
    <w:p w14:paraId="3F1DFFE6" w14:textId="77777777" w:rsidR="0017525B" w:rsidRPr="00BF61F5" w:rsidRDefault="0017525B" w:rsidP="0017525B">
      <w:pPr>
        <w:spacing w:before="120" w:after="120"/>
        <w:ind w:left="567"/>
        <w:rPr>
          <w:lang w:eastAsia="x-none"/>
        </w:rPr>
      </w:pPr>
      <w:r w:rsidRPr="00BF61F5">
        <w:rPr>
          <w:lang w:eastAsia="x-none"/>
        </w:rPr>
        <w:t xml:space="preserve">The investigation team shall reach consensus on the most appropriate preventive measures based on the information gathered in the investigation process. </w:t>
      </w:r>
    </w:p>
    <w:p w14:paraId="7CEEE2B5" w14:textId="77777777" w:rsidR="0017525B" w:rsidRPr="00BF61F5" w:rsidRDefault="0017525B" w:rsidP="0017525B">
      <w:pPr>
        <w:spacing w:before="120" w:after="120"/>
        <w:ind w:left="567"/>
        <w:rPr>
          <w:lang w:eastAsia="x-none"/>
        </w:rPr>
      </w:pPr>
      <w:r w:rsidRPr="00BF61F5">
        <w:rPr>
          <w:lang w:eastAsia="x-none"/>
        </w:rPr>
        <w:t xml:space="preserve">The investigation team shall evaluate the effectiveness of previous controls when identifying preventive measures. </w:t>
      </w:r>
    </w:p>
    <w:p w14:paraId="737C36E2" w14:textId="77777777" w:rsidR="0017525B" w:rsidRPr="00BF61F5" w:rsidRDefault="0017525B" w:rsidP="0017525B">
      <w:pPr>
        <w:spacing w:before="120" w:after="120"/>
        <w:ind w:left="567"/>
        <w:rPr>
          <w:lang w:eastAsia="x-none"/>
        </w:rPr>
      </w:pPr>
      <w:r w:rsidRPr="00BF61F5">
        <w:rPr>
          <w:lang w:eastAsia="x-none"/>
        </w:rPr>
        <w:t>In determining which preventive actions to propose, it is important for the investigation team to evaluate the effectiveness of controls – i.e. how well controls reduce the risk of incidents. Effectiveness of controls should reference the hierarchy or controls.</w:t>
      </w:r>
    </w:p>
    <w:p w14:paraId="7F526320" w14:textId="77777777" w:rsidR="0017525B" w:rsidRPr="00BF61F5" w:rsidRDefault="0017525B" w:rsidP="0017525B">
      <w:pPr>
        <w:keepNext/>
        <w:numPr>
          <w:ilvl w:val="2"/>
          <w:numId w:val="4"/>
        </w:numPr>
        <w:tabs>
          <w:tab w:val="left" w:pos="1134"/>
        </w:tabs>
        <w:spacing w:before="240" w:after="60"/>
        <w:jc w:val="left"/>
        <w:outlineLvl w:val="2"/>
        <w:rPr>
          <w:rFonts w:cs="Arial"/>
          <w:b/>
          <w:bCs/>
          <w:szCs w:val="22"/>
          <w:lang w:eastAsia="x-none"/>
        </w:rPr>
      </w:pPr>
      <w:bookmarkStart w:id="40" w:name="_Toc536616911"/>
      <w:bookmarkStart w:id="41" w:name="_Toc10737602"/>
      <w:r>
        <w:rPr>
          <w:rFonts w:cs="Arial"/>
          <w:b/>
          <w:bCs/>
          <w:szCs w:val="22"/>
          <w:lang w:eastAsia="x-none"/>
        </w:rPr>
        <w:t>Step 9:</w:t>
      </w:r>
      <w:r w:rsidRPr="00BF61F5">
        <w:rPr>
          <w:rFonts w:cs="Arial"/>
          <w:b/>
          <w:bCs/>
          <w:szCs w:val="22"/>
          <w:lang w:eastAsia="x-none"/>
        </w:rPr>
        <w:t xml:space="preserve"> Reporting Results</w:t>
      </w:r>
      <w:bookmarkEnd w:id="40"/>
      <w:bookmarkEnd w:id="41"/>
    </w:p>
    <w:p w14:paraId="16B1B98A" w14:textId="77777777" w:rsidR="0017525B" w:rsidRPr="00BF61F5" w:rsidRDefault="0017525B" w:rsidP="0017525B">
      <w:pPr>
        <w:spacing w:before="120" w:after="120"/>
        <w:ind w:left="567"/>
        <w:rPr>
          <w:lang w:eastAsia="x-none"/>
        </w:rPr>
      </w:pPr>
      <w:r w:rsidRPr="00BF61F5">
        <w:rPr>
          <w:lang w:eastAsia="x-none"/>
        </w:rPr>
        <w:t>The incident investigation report shall be clearly and concisely written to convey the results of the investigation</w:t>
      </w:r>
      <w:r>
        <w:rPr>
          <w:lang w:eastAsia="x-none"/>
        </w:rPr>
        <w:t xml:space="preserve"> </w:t>
      </w:r>
      <w:r w:rsidRPr="00BF61F5">
        <w:rPr>
          <w:lang w:eastAsia="x-none"/>
        </w:rPr>
        <w:t xml:space="preserve">and shall be </w:t>
      </w:r>
      <w:r>
        <w:rPr>
          <w:lang w:eastAsia="x-none"/>
        </w:rPr>
        <w:t>entered into the site Incident Reporting System.</w:t>
      </w:r>
      <w:r w:rsidRPr="00BF61F5">
        <w:rPr>
          <w:lang w:eastAsia="x-none"/>
        </w:rPr>
        <w:t xml:space="preserve"> </w:t>
      </w:r>
      <w:r>
        <w:rPr>
          <w:lang w:eastAsia="x-none"/>
        </w:rPr>
        <w:t>It shall be an accurate and objective record of the incident, and provide</w:t>
      </w:r>
      <w:r w:rsidRPr="00BF61F5">
        <w:rPr>
          <w:lang w:eastAsia="x-none"/>
        </w:rPr>
        <w:t xml:space="preserve"> complete and accurate details and explicit statements of: </w:t>
      </w:r>
    </w:p>
    <w:p w14:paraId="3B27A0CD"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The </w:t>
      </w:r>
      <w:r>
        <w:rPr>
          <w:lang w:val="en-GB" w:eastAsia="en-US"/>
        </w:rPr>
        <w:t>investigator/</w:t>
      </w:r>
      <w:r w:rsidRPr="00BF61F5">
        <w:rPr>
          <w:lang w:val="en-GB" w:eastAsia="en-US"/>
        </w:rPr>
        <w:t xml:space="preserve">team’s investigation process; </w:t>
      </w:r>
    </w:p>
    <w:p w14:paraId="7A509EC1"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Facts pertaining to the incident, including relevant management systems involved; </w:t>
      </w:r>
    </w:p>
    <w:p w14:paraId="01E73A7E"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Analytical methods used and their results; </w:t>
      </w:r>
    </w:p>
    <w:p w14:paraId="1EBBA84D"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Conclusions of the </w:t>
      </w:r>
      <w:r>
        <w:rPr>
          <w:lang w:val="en-GB" w:eastAsia="en-US"/>
        </w:rPr>
        <w:t>investigation</w:t>
      </w:r>
      <w:r w:rsidRPr="00BF61F5">
        <w:rPr>
          <w:lang w:val="en-GB" w:eastAsia="en-US"/>
        </w:rPr>
        <w:t>, including the causal factors of the incident; and</w:t>
      </w:r>
    </w:p>
    <w:p w14:paraId="2034521E" w14:textId="77777777" w:rsidR="0017525B" w:rsidRPr="00BF61F5" w:rsidRDefault="0017525B" w:rsidP="0017525B">
      <w:pPr>
        <w:numPr>
          <w:ilvl w:val="0"/>
          <w:numId w:val="5"/>
        </w:numPr>
        <w:tabs>
          <w:tab w:val="left" w:pos="1134"/>
        </w:tabs>
        <w:spacing w:before="120" w:after="120"/>
        <w:rPr>
          <w:lang w:val="en-GB" w:eastAsia="en-US"/>
        </w:rPr>
      </w:pPr>
      <w:r w:rsidRPr="00BF61F5">
        <w:rPr>
          <w:lang w:val="en-GB" w:eastAsia="en-US"/>
        </w:rPr>
        <w:t xml:space="preserve">Preventative Actions and Corrective Actions to prevent recurrence of the incident. </w:t>
      </w:r>
    </w:p>
    <w:p w14:paraId="123EFF99" w14:textId="516F9969" w:rsidR="0017525B" w:rsidRPr="00BF61F5" w:rsidRDefault="0017525B" w:rsidP="0017525B">
      <w:pPr>
        <w:spacing w:before="120" w:after="120"/>
        <w:ind w:left="567"/>
        <w:rPr>
          <w:lang w:eastAsia="x-none"/>
        </w:rPr>
      </w:pPr>
      <w:r w:rsidRPr="00BF61F5">
        <w:rPr>
          <w:lang w:eastAsia="x-none"/>
        </w:rPr>
        <w:t xml:space="preserve">At the completion of the investigation process, the Incident Investigation Report shall be submitted </w:t>
      </w:r>
      <w:r>
        <w:rPr>
          <w:lang w:eastAsia="x-none"/>
        </w:rPr>
        <w:t xml:space="preserve">to Kaius Mine </w:t>
      </w:r>
      <w:r w:rsidRPr="00BF61F5">
        <w:rPr>
          <w:lang w:eastAsia="x-none"/>
        </w:rPr>
        <w:t>HST department within 48 hours.</w:t>
      </w:r>
    </w:p>
    <w:p w14:paraId="15E05AFD" w14:textId="77777777" w:rsidR="0017525B" w:rsidRPr="00C05808" w:rsidRDefault="0017525B" w:rsidP="0017525B">
      <w:pPr>
        <w:spacing w:before="120" w:after="120"/>
        <w:ind w:left="567"/>
        <w:rPr>
          <w:lang w:eastAsia="x-none"/>
        </w:rPr>
      </w:pPr>
      <w:r>
        <w:rPr>
          <w:lang w:eastAsia="x-none"/>
        </w:rPr>
        <w:t>For a full ICAM investigation a</w:t>
      </w:r>
      <w:r w:rsidRPr="00C05808">
        <w:rPr>
          <w:lang w:eastAsia="x-none"/>
        </w:rPr>
        <w:t xml:space="preserve">s a minimum </w:t>
      </w:r>
      <w:r>
        <w:rPr>
          <w:lang w:eastAsia="x-none"/>
        </w:rPr>
        <w:t xml:space="preserve">the </w:t>
      </w:r>
      <w:r w:rsidRPr="00C05808">
        <w:rPr>
          <w:lang w:eastAsia="x-none"/>
        </w:rPr>
        <w:t>report shall include:</w:t>
      </w:r>
    </w:p>
    <w:p w14:paraId="5B0F5D8C" w14:textId="77777777" w:rsidR="0017525B" w:rsidRPr="00C05808" w:rsidRDefault="0017525B" w:rsidP="004279CE">
      <w:pPr>
        <w:numPr>
          <w:ilvl w:val="0"/>
          <w:numId w:val="13"/>
        </w:numPr>
        <w:spacing w:before="120" w:after="120"/>
        <w:rPr>
          <w:lang w:eastAsia="x-none"/>
        </w:rPr>
      </w:pPr>
      <w:r w:rsidRPr="00C05808">
        <w:rPr>
          <w:lang w:eastAsia="x-none"/>
        </w:rPr>
        <w:lastRenderedPageBreak/>
        <w:t>Executive Summary</w:t>
      </w:r>
    </w:p>
    <w:p w14:paraId="7784A231" w14:textId="77777777" w:rsidR="0017525B" w:rsidRPr="00C05808" w:rsidRDefault="0017525B" w:rsidP="004279CE">
      <w:pPr>
        <w:numPr>
          <w:ilvl w:val="0"/>
          <w:numId w:val="13"/>
        </w:numPr>
        <w:spacing w:before="120" w:after="120"/>
        <w:rPr>
          <w:lang w:eastAsia="x-none"/>
        </w:rPr>
      </w:pPr>
      <w:r w:rsidRPr="00C05808">
        <w:rPr>
          <w:lang w:eastAsia="x-none"/>
        </w:rPr>
        <w:t>Incident Description</w:t>
      </w:r>
    </w:p>
    <w:p w14:paraId="364F25F1" w14:textId="77777777" w:rsidR="0017525B" w:rsidRPr="00C05808" w:rsidRDefault="0017525B" w:rsidP="004279CE">
      <w:pPr>
        <w:numPr>
          <w:ilvl w:val="0"/>
          <w:numId w:val="13"/>
        </w:numPr>
        <w:spacing w:before="120" w:after="120"/>
        <w:rPr>
          <w:lang w:eastAsia="x-none"/>
        </w:rPr>
      </w:pPr>
      <w:r w:rsidRPr="00C05808">
        <w:rPr>
          <w:lang w:eastAsia="x-none"/>
        </w:rPr>
        <w:t>Contributing Factors and Underlying Causes</w:t>
      </w:r>
    </w:p>
    <w:p w14:paraId="156F5702" w14:textId="77777777" w:rsidR="0017525B" w:rsidRPr="00C05808" w:rsidRDefault="0017525B" w:rsidP="004279CE">
      <w:pPr>
        <w:numPr>
          <w:ilvl w:val="0"/>
          <w:numId w:val="13"/>
        </w:numPr>
        <w:spacing w:before="120" w:after="120"/>
        <w:rPr>
          <w:lang w:eastAsia="x-none"/>
        </w:rPr>
      </w:pPr>
      <w:r w:rsidRPr="00C05808">
        <w:rPr>
          <w:lang w:eastAsia="x-none"/>
        </w:rPr>
        <w:t>Key Findings</w:t>
      </w:r>
    </w:p>
    <w:p w14:paraId="6B69B400" w14:textId="77777777" w:rsidR="0017525B" w:rsidRPr="00C05808" w:rsidRDefault="0017525B" w:rsidP="004279CE">
      <w:pPr>
        <w:numPr>
          <w:ilvl w:val="0"/>
          <w:numId w:val="13"/>
        </w:numPr>
        <w:spacing w:before="120" w:after="120"/>
        <w:rPr>
          <w:lang w:eastAsia="x-none"/>
        </w:rPr>
      </w:pPr>
      <w:r w:rsidRPr="00C05808">
        <w:rPr>
          <w:lang w:eastAsia="x-none"/>
        </w:rPr>
        <w:t>Conclusions and Observations</w:t>
      </w:r>
    </w:p>
    <w:p w14:paraId="512B60C1" w14:textId="77777777" w:rsidR="0017525B" w:rsidRPr="00C05808" w:rsidRDefault="0017525B" w:rsidP="004279CE">
      <w:pPr>
        <w:numPr>
          <w:ilvl w:val="0"/>
          <w:numId w:val="13"/>
        </w:numPr>
        <w:spacing w:before="120" w:after="120"/>
        <w:rPr>
          <w:lang w:eastAsia="x-none"/>
        </w:rPr>
      </w:pPr>
      <w:r w:rsidRPr="00C05808">
        <w:rPr>
          <w:lang w:eastAsia="x-none"/>
        </w:rPr>
        <w:t>Recommendations</w:t>
      </w:r>
    </w:p>
    <w:p w14:paraId="082BB697" w14:textId="77777777" w:rsidR="0017525B" w:rsidRPr="00C05808" w:rsidRDefault="0017525B" w:rsidP="004279CE">
      <w:pPr>
        <w:numPr>
          <w:ilvl w:val="0"/>
          <w:numId w:val="13"/>
        </w:numPr>
        <w:spacing w:before="120" w:after="120"/>
        <w:rPr>
          <w:lang w:eastAsia="x-none"/>
        </w:rPr>
      </w:pPr>
      <w:r w:rsidRPr="00C05808">
        <w:rPr>
          <w:lang w:eastAsia="x-none"/>
        </w:rPr>
        <w:t>Corrective Action Plan</w:t>
      </w:r>
    </w:p>
    <w:p w14:paraId="1008769B" w14:textId="77777777" w:rsidR="0017525B" w:rsidRPr="00C05808" w:rsidRDefault="0017525B" w:rsidP="004279CE">
      <w:pPr>
        <w:numPr>
          <w:ilvl w:val="0"/>
          <w:numId w:val="13"/>
        </w:numPr>
        <w:spacing w:before="120" w:after="120"/>
        <w:rPr>
          <w:lang w:eastAsia="x-none"/>
        </w:rPr>
      </w:pPr>
      <w:r w:rsidRPr="00C05808">
        <w:rPr>
          <w:lang w:eastAsia="x-none"/>
        </w:rPr>
        <w:t>Report Sign-off</w:t>
      </w:r>
    </w:p>
    <w:p w14:paraId="2FBAD12E" w14:textId="77777777" w:rsidR="0017525B" w:rsidRPr="00C05808" w:rsidRDefault="0017525B" w:rsidP="004279CE">
      <w:pPr>
        <w:numPr>
          <w:ilvl w:val="0"/>
          <w:numId w:val="13"/>
        </w:numPr>
        <w:spacing w:before="120" w:after="120"/>
        <w:rPr>
          <w:lang w:eastAsia="x-none"/>
        </w:rPr>
      </w:pPr>
      <w:r w:rsidRPr="00C05808">
        <w:rPr>
          <w:lang w:eastAsia="x-none"/>
        </w:rPr>
        <w:t>Timeline Chart</w:t>
      </w:r>
    </w:p>
    <w:p w14:paraId="2CF7A662" w14:textId="77777777" w:rsidR="0017525B" w:rsidRPr="00C05808" w:rsidRDefault="0017525B" w:rsidP="004279CE">
      <w:pPr>
        <w:numPr>
          <w:ilvl w:val="0"/>
          <w:numId w:val="13"/>
        </w:numPr>
        <w:spacing w:before="120" w:after="120"/>
        <w:rPr>
          <w:lang w:eastAsia="x-none"/>
        </w:rPr>
      </w:pPr>
      <w:r w:rsidRPr="00C05808">
        <w:rPr>
          <w:lang w:eastAsia="x-none"/>
        </w:rPr>
        <w:t>ICAM Chart</w:t>
      </w:r>
    </w:p>
    <w:p w14:paraId="33B6BAD2" w14:textId="77777777" w:rsidR="0017525B" w:rsidRPr="00C05808" w:rsidRDefault="0017525B" w:rsidP="004279CE">
      <w:pPr>
        <w:numPr>
          <w:ilvl w:val="0"/>
          <w:numId w:val="13"/>
        </w:numPr>
        <w:spacing w:before="120" w:after="120"/>
        <w:rPr>
          <w:lang w:eastAsia="x-none"/>
        </w:rPr>
      </w:pPr>
      <w:r w:rsidRPr="00C05808">
        <w:rPr>
          <w:lang w:eastAsia="x-none"/>
        </w:rPr>
        <w:t>Key Learnings</w:t>
      </w:r>
    </w:p>
    <w:p w14:paraId="0429CD21" w14:textId="77777777" w:rsidR="0017525B" w:rsidRPr="00C05808" w:rsidRDefault="0017525B" w:rsidP="004279CE">
      <w:pPr>
        <w:numPr>
          <w:ilvl w:val="0"/>
          <w:numId w:val="13"/>
        </w:numPr>
        <w:spacing w:before="120" w:after="120"/>
        <w:rPr>
          <w:lang w:eastAsia="x-none"/>
        </w:rPr>
      </w:pPr>
      <w:r w:rsidRPr="00C05808">
        <w:rPr>
          <w:lang w:eastAsia="x-none"/>
        </w:rPr>
        <w:t>Appendices</w:t>
      </w:r>
    </w:p>
    <w:p w14:paraId="52AF1F5D" w14:textId="77777777" w:rsidR="0017525B" w:rsidRPr="008D48CB" w:rsidRDefault="0017525B" w:rsidP="00346EC7">
      <w:pPr>
        <w:pStyle w:val="Heading1"/>
      </w:pPr>
      <w:bookmarkStart w:id="42" w:name="_Toc75784375"/>
      <w:r w:rsidRPr="008D48CB">
        <w:t>Incident Severity Rating</w:t>
      </w:r>
      <w:bookmarkEnd w:id="42"/>
    </w:p>
    <w:p w14:paraId="23530B5A" w14:textId="2CA609F9" w:rsidR="0017525B" w:rsidRDefault="0017525B" w:rsidP="0017525B">
      <w:pPr>
        <w:pStyle w:val="Body"/>
      </w:pPr>
      <w:r>
        <w:t xml:space="preserve">The severity of the incident outcomes will determine the level of investigation and the seniority of the Accountable Person. Kaius Mine management may require an upscaling of investigation due to the potential the incident poses to the mine. </w:t>
      </w:r>
    </w:p>
    <w:p w14:paraId="43E749FF" w14:textId="77777777" w:rsidR="0017525B" w:rsidRDefault="0017525B" w:rsidP="0017525B">
      <w:pPr>
        <w:rPr>
          <w:b/>
        </w:rPr>
      </w:pPr>
      <w:r w:rsidRPr="00F7260A">
        <w:rPr>
          <w:b/>
        </w:rPr>
        <w:t>Table 5: Severity Level Table</w:t>
      </w:r>
    </w:p>
    <w:p w14:paraId="1B0E8E5C" w14:textId="77777777" w:rsidR="0017525B" w:rsidRPr="00F7260A" w:rsidRDefault="0017525B" w:rsidP="0017525B">
      <w:pPr>
        <w:rPr>
          <w:b/>
        </w:rPr>
      </w:pPr>
    </w:p>
    <w:tbl>
      <w:tblPr>
        <w:tblStyle w:val="TableGrid"/>
        <w:tblW w:w="10215" w:type="dxa"/>
        <w:tblInd w:w="-5" w:type="dxa"/>
        <w:tblLayout w:type="fixed"/>
        <w:tblLook w:val="04A0" w:firstRow="1" w:lastRow="0" w:firstColumn="1" w:lastColumn="0" w:noHBand="0" w:noVBand="1"/>
      </w:tblPr>
      <w:tblGrid>
        <w:gridCol w:w="1701"/>
        <w:gridCol w:w="1702"/>
        <w:gridCol w:w="1702"/>
        <w:gridCol w:w="1701"/>
        <w:gridCol w:w="1702"/>
        <w:gridCol w:w="1698"/>
        <w:gridCol w:w="9"/>
      </w:tblGrid>
      <w:tr w:rsidR="0017525B" w14:paraId="5487B00D" w14:textId="77777777" w:rsidTr="00CA415A">
        <w:trPr>
          <w:gridAfter w:val="1"/>
          <w:wAfter w:w="9" w:type="dxa"/>
          <w:trHeight w:val="426"/>
        </w:trPr>
        <w:tc>
          <w:tcPr>
            <w:tcW w:w="10206" w:type="dxa"/>
            <w:gridSpan w:val="6"/>
            <w:shd w:val="clear" w:color="auto" w:fill="E2EFD9" w:themeFill="accent6" w:themeFillTint="33"/>
            <w:vAlign w:val="center"/>
          </w:tcPr>
          <w:p w14:paraId="18782748" w14:textId="77777777" w:rsidR="0017525B" w:rsidRPr="00ED195D" w:rsidRDefault="0017525B" w:rsidP="00CA415A">
            <w:pPr>
              <w:pStyle w:val="Body"/>
              <w:jc w:val="center"/>
              <w:rPr>
                <w:b/>
              </w:rPr>
            </w:pPr>
            <w:r w:rsidRPr="00ED195D">
              <w:rPr>
                <w:b/>
              </w:rPr>
              <w:t>Incident Investigation Severity Levels</w:t>
            </w:r>
          </w:p>
        </w:tc>
      </w:tr>
      <w:tr w:rsidR="0017525B" w:rsidRPr="008F7421" w14:paraId="7377305B" w14:textId="77777777" w:rsidTr="00CA415A">
        <w:tblPrEx>
          <w:jc w:val="center"/>
          <w:tblInd w:w="0" w:type="dxa"/>
        </w:tblPrEx>
        <w:trPr>
          <w:trHeight w:val="375"/>
          <w:jc w:val="center"/>
        </w:trPr>
        <w:tc>
          <w:tcPr>
            <w:tcW w:w="1701" w:type="dxa"/>
            <w:tcBorders>
              <w:bottom w:val="single" w:sz="4" w:space="0" w:color="000000"/>
            </w:tcBorders>
            <w:shd w:val="pct10" w:color="auto" w:fill="auto"/>
            <w:vAlign w:val="center"/>
          </w:tcPr>
          <w:p w14:paraId="7479B3B8" w14:textId="77777777" w:rsidR="0017525B" w:rsidRPr="006143F5" w:rsidRDefault="0017525B" w:rsidP="00CA415A">
            <w:pPr>
              <w:jc w:val="center"/>
              <w:rPr>
                <w:b/>
                <w:bCs/>
                <w:sz w:val="20"/>
                <w:szCs w:val="20"/>
              </w:rPr>
            </w:pPr>
            <w:r w:rsidRPr="006143F5">
              <w:rPr>
                <w:b/>
                <w:bCs/>
                <w:sz w:val="20"/>
                <w:szCs w:val="20"/>
              </w:rPr>
              <w:t>Consequence Criteria</w:t>
            </w:r>
          </w:p>
        </w:tc>
        <w:tc>
          <w:tcPr>
            <w:tcW w:w="1702" w:type="dxa"/>
            <w:shd w:val="pct10" w:color="auto" w:fill="auto"/>
            <w:vAlign w:val="center"/>
          </w:tcPr>
          <w:p w14:paraId="7BF0813E" w14:textId="77777777" w:rsidR="0017525B" w:rsidRDefault="0017525B" w:rsidP="00CA415A">
            <w:pPr>
              <w:jc w:val="center"/>
              <w:rPr>
                <w:b/>
                <w:bCs/>
                <w:sz w:val="20"/>
                <w:szCs w:val="20"/>
              </w:rPr>
            </w:pPr>
            <w:r>
              <w:rPr>
                <w:b/>
                <w:bCs/>
                <w:sz w:val="20"/>
                <w:szCs w:val="20"/>
              </w:rPr>
              <w:t xml:space="preserve">Level 1. </w:t>
            </w:r>
            <w:r w:rsidRPr="008F7421">
              <w:rPr>
                <w:b/>
                <w:bCs/>
                <w:sz w:val="20"/>
                <w:szCs w:val="20"/>
              </w:rPr>
              <w:t>Insignificant</w:t>
            </w:r>
          </w:p>
        </w:tc>
        <w:tc>
          <w:tcPr>
            <w:tcW w:w="1702" w:type="dxa"/>
            <w:shd w:val="pct10" w:color="auto" w:fill="auto"/>
            <w:vAlign w:val="center"/>
          </w:tcPr>
          <w:p w14:paraId="549B1AD6" w14:textId="77777777" w:rsidR="0017525B" w:rsidRDefault="0017525B" w:rsidP="00CA415A">
            <w:pPr>
              <w:jc w:val="center"/>
              <w:rPr>
                <w:b/>
                <w:bCs/>
                <w:sz w:val="20"/>
                <w:szCs w:val="20"/>
              </w:rPr>
            </w:pPr>
            <w:r>
              <w:rPr>
                <w:b/>
                <w:bCs/>
                <w:sz w:val="20"/>
                <w:szCs w:val="20"/>
              </w:rPr>
              <w:t xml:space="preserve">Level 2. </w:t>
            </w:r>
            <w:r w:rsidRPr="008F7421">
              <w:rPr>
                <w:b/>
                <w:bCs/>
                <w:sz w:val="20"/>
                <w:szCs w:val="20"/>
              </w:rPr>
              <w:t>Minor</w:t>
            </w:r>
          </w:p>
        </w:tc>
        <w:tc>
          <w:tcPr>
            <w:tcW w:w="1701" w:type="dxa"/>
            <w:shd w:val="pct10" w:color="auto" w:fill="auto"/>
            <w:vAlign w:val="center"/>
          </w:tcPr>
          <w:p w14:paraId="5D61728F" w14:textId="77777777" w:rsidR="0017525B" w:rsidRDefault="0017525B" w:rsidP="00CA415A">
            <w:pPr>
              <w:jc w:val="center"/>
              <w:rPr>
                <w:b/>
                <w:bCs/>
                <w:sz w:val="20"/>
                <w:szCs w:val="20"/>
              </w:rPr>
            </w:pPr>
            <w:r>
              <w:rPr>
                <w:b/>
                <w:bCs/>
                <w:sz w:val="20"/>
                <w:szCs w:val="20"/>
              </w:rPr>
              <w:t xml:space="preserve">Level 3. </w:t>
            </w:r>
            <w:r w:rsidRPr="008F7421">
              <w:rPr>
                <w:b/>
                <w:bCs/>
                <w:sz w:val="20"/>
                <w:szCs w:val="20"/>
              </w:rPr>
              <w:t>Moderate</w:t>
            </w:r>
          </w:p>
        </w:tc>
        <w:tc>
          <w:tcPr>
            <w:tcW w:w="1702" w:type="dxa"/>
            <w:shd w:val="pct10" w:color="auto" w:fill="auto"/>
            <w:vAlign w:val="center"/>
          </w:tcPr>
          <w:p w14:paraId="7E74CA96" w14:textId="77777777" w:rsidR="0017525B" w:rsidRDefault="0017525B" w:rsidP="00CA415A">
            <w:pPr>
              <w:jc w:val="center"/>
              <w:rPr>
                <w:b/>
                <w:bCs/>
                <w:sz w:val="20"/>
                <w:szCs w:val="20"/>
              </w:rPr>
            </w:pPr>
            <w:r>
              <w:rPr>
                <w:b/>
                <w:bCs/>
                <w:sz w:val="20"/>
                <w:szCs w:val="20"/>
              </w:rPr>
              <w:t xml:space="preserve">Level 4. </w:t>
            </w:r>
            <w:r w:rsidRPr="008F7421">
              <w:rPr>
                <w:b/>
                <w:bCs/>
                <w:sz w:val="20"/>
                <w:szCs w:val="20"/>
              </w:rPr>
              <w:t>Major</w:t>
            </w:r>
          </w:p>
        </w:tc>
        <w:tc>
          <w:tcPr>
            <w:tcW w:w="1707" w:type="dxa"/>
            <w:gridSpan w:val="2"/>
            <w:shd w:val="pct10" w:color="auto" w:fill="auto"/>
            <w:vAlign w:val="center"/>
          </w:tcPr>
          <w:p w14:paraId="618CD93F" w14:textId="77777777" w:rsidR="0017525B" w:rsidRDefault="0017525B" w:rsidP="00CA415A">
            <w:pPr>
              <w:jc w:val="center"/>
              <w:rPr>
                <w:b/>
                <w:bCs/>
                <w:sz w:val="20"/>
                <w:szCs w:val="20"/>
              </w:rPr>
            </w:pPr>
            <w:r>
              <w:rPr>
                <w:b/>
                <w:bCs/>
                <w:sz w:val="20"/>
                <w:szCs w:val="20"/>
              </w:rPr>
              <w:t xml:space="preserve">Level 5. </w:t>
            </w:r>
            <w:r w:rsidRPr="008F7421">
              <w:rPr>
                <w:b/>
                <w:bCs/>
                <w:sz w:val="20"/>
                <w:szCs w:val="20"/>
              </w:rPr>
              <w:t>Critical</w:t>
            </w:r>
          </w:p>
        </w:tc>
      </w:tr>
      <w:tr w:rsidR="0017525B" w:rsidRPr="006143F5" w14:paraId="54182297" w14:textId="77777777" w:rsidTr="00CA415A">
        <w:tblPrEx>
          <w:jc w:val="center"/>
          <w:tblInd w:w="0" w:type="dxa"/>
        </w:tblPrEx>
        <w:trPr>
          <w:trHeight w:val="555"/>
          <w:jc w:val="center"/>
        </w:trPr>
        <w:tc>
          <w:tcPr>
            <w:tcW w:w="1701" w:type="dxa"/>
            <w:shd w:val="pct10" w:color="auto" w:fill="auto"/>
            <w:vAlign w:val="center"/>
          </w:tcPr>
          <w:p w14:paraId="3E871788" w14:textId="77777777" w:rsidR="0017525B" w:rsidRPr="006143F5" w:rsidRDefault="0017525B" w:rsidP="00CA415A">
            <w:pPr>
              <w:jc w:val="center"/>
              <w:rPr>
                <w:b/>
                <w:bCs/>
                <w:sz w:val="20"/>
                <w:szCs w:val="20"/>
              </w:rPr>
            </w:pPr>
            <w:r w:rsidRPr="006143F5">
              <w:rPr>
                <w:b/>
                <w:bCs/>
                <w:sz w:val="20"/>
                <w:szCs w:val="20"/>
              </w:rPr>
              <w:t>Health &amp; Safety</w:t>
            </w:r>
          </w:p>
        </w:tc>
        <w:tc>
          <w:tcPr>
            <w:tcW w:w="1702" w:type="dxa"/>
            <w:vAlign w:val="center"/>
          </w:tcPr>
          <w:p w14:paraId="5F9E9BA3" w14:textId="77777777" w:rsidR="0017525B" w:rsidRPr="006143F5" w:rsidRDefault="0017525B" w:rsidP="00CA415A">
            <w:pPr>
              <w:jc w:val="left"/>
              <w:rPr>
                <w:sz w:val="20"/>
                <w:szCs w:val="20"/>
              </w:rPr>
            </w:pPr>
            <w:r w:rsidRPr="006143F5">
              <w:rPr>
                <w:sz w:val="20"/>
                <w:szCs w:val="20"/>
              </w:rPr>
              <w:t>Injury requiring first aid treatment only.</w:t>
            </w:r>
          </w:p>
        </w:tc>
        <w:tc>
          <w:tcPr>
            <w:tcW w:w="1702" w:type="dxa"/>
            <w:vAlign w:val="center"/>
          </w:tcPr>
          <w:p w14:paraId="62C5B73F" w14:textId="77777777" w:rsidR="0017525B" w:rsidRPr="006143F5" w:rsidRDefault="0017525B" w:rsidP="00CA415A">
            <w:pPr>
              <w:jc w:val="left"/>
              <w:rPr>
                <w:sz w:val="20"/>
                <w:szCs w:val="20"/>
              </w:rPr>
            </w:pPr>
            <w:r w:rsidRPr="006143F5">
              <w:rPr>
                <w:sz w:val="20"/>
                <w:szCs w:val="20"/>
              </w:rPr>
              <w:t>MTI or RWI classification. Injury requires medical treatment by qualified practitioner.</w:t>
            </w:r>
          </w:p>
        </w:tc>
        <w:tc>
          <w:tcPr>
            <w:tcW w:w="1701" w:type="dxa"/>
            <w:vAlign w:val="center"/>
          </w:tcPr>
          <w:p w14:paraId="5613CF77" w14:textId="77777777" w:rsidR="0017525B" w:rsidRPr="006143F5" w:rsidRDefault="0017525B" w:rsidP="00CA415A">
            <w:pPr>
              <w:jc w:val="left"/>
              <w:rPr>
                <w:sz w:val="20"/>
                <w:szCs w:val="20"/>
              </w:rPr>
            </w:pPr>
            <w:r w:rsidRPr="006143F5">
              <w:rPr>
                <w:sz w:val="20"/>
                <w:szCs w:val="20"/>
              </w:rPr>
              <w:t>LTI classification. Injury may require hospitalisation, not life-threatening.</w:t>
            </w:r>
          </w:p>
        </w:tc>
        <w:tc>
          <w:tcPr>
            <w:tcW w:w="1702" w:type="dxa"/>
            <w:vAlign w:val="center"/>
          </w:tcPr>
          <w:p w14:paraId="510AF16E" w14:textId="77777777" w:rsidR="0017525B" w:rsidRPr="006143F5" w:rsidRDefault="0017525B" w:rsidP="00CA415A">
            <w:pPr>
              <w:jc w:val="left"/>
              <w:rPr>
                <w:sz w:val="20"/>
                <w:szCs w:val="20"/>
              </w:rPr>
            </w:pPr>
            <w:r w:rsidRPr="006143F5">
              <w:rPr>
                <w:sz w:val="20"/>
                <w:szCs w:val="20"/>
              </w:rPr>
              <w:t xml:space="preserve">Single Fatality. Or Permanent &amp; significant disabling injury or illness </w:t>
            </w:r>
          </w:p>
        </w:tc>
        <w:tc>
          <w:tcPr>
            <w:tcW w:w="1707" w:type="dxa"/>
            <w:gridSpan w:val="2"/>
            <w:vAlign w:val="center"/>
          </w:tcPr>
          <w:p w14:paraId="2BDCE3B3" w14:textId="77777777" w:rsidR="0017525B" w:rsidRPr="006143F5" w:rsidRDefault="0017525B" w:rsidP="00CA415A">
            <w:pPr>
              <w:jc w:val="left"/>
              <w:rPr>
                <w:sz w:val="20"/>
                <w:szCs w:val="20"/>
              </w:rPr>
            </w:pPr>
            <w:r w:rsidRPr="006143F5">
              <w:rPr>
                <w:sz w:val="20"/>
                <w:szCs w:val="20"/>
              </w:rPr>
              <w:t>Multiple Fatalities: or Multiple &amp; significant disabling injuries or illnesses</w:t>
            </w:r>
          </w:p>
        </w:tc>
      </w:tr>
      <w:tr w:rsidR="0017525B" w:rsidRPr="006143F5" w14:paraId="373E7521" w14:textId="77777777" w:rsidTr="00CA415A">
        <w:tblPrEx>
          <w:jc w:val="center"/>
          <w:tblInd w:w="0" w:type="dxa"/>
        </w:tblPrEx>
        <w:trPr>
          <w:trHeight w:val="735"/>
          <w:jc w:val="center"/>
        </w:trPr>
        <w:tc>
          <w:tcPr>
            <w:tcW w:w="1701" w:type="dxa"/>
            <w:shd w:val="pct10" w:color="auto" w:fill="auto"/>
            <w:vAlign w:val="center"/>
          </w:tcPr>
          <w:p w14:paraId="3CF3EF85" w14:textId="77777777" w:rsidR="0017525B" w:rsidRPr="006143F5" w:rsidRDefault="0017525B" w:rsidP="00CA415A">
            <w:pPr>
              <w:jc w:val="center"/>
              <w:rPr>
                <w:b/>
                <w:bCs/>
                <w:sz w:val="20"/>
                <w:szCs w:val="20"/>
              </w:rPr>
            </w:pPr>
            <w:r w:rsidRPr="006143F5">
              <w:rPr>
                <w:b/>
                <w:bCs/>
                <w:sz w:val="20"/>
                <w:szCs w:val="20"/>
              </w:rPr>
              <w:t>Environment</w:t>
            </w:r>
          </w:p>
        </w:tc>
        <w:tc>
          <w:tcPr>
            <w:tcW w:w="1702" w:type="dxa"/>
            <w:vAlign w:val="center"/>
          </w:tcPr>
          <w:p w14:paraId="75389409" w14:textId="77777777" w:rsidR="0017525B" w:rsidRPr="006143F5" w:rsidRDefault="0017525B" w:rsidP="00CA415A">
            <w:pPr>
              <w:jc w:val="left"/>
              <w:rPr>
                <w:sz w:val="20"/>
                <w:szCs w:val="20"/>
              </w:rPr>
            </w:pPr>
            <w:r w:rsidRPr="006143F5">
              <w:rPr>
                <w:sz w:val="20"/>
                <w:szCs w:val="20"/>
              </w:rPr>
              <w:t>Near-source confined and promptly reversible impact (Remediation is typically within the shift).</w:t>
            </w:r>
          </w:p>
        </w:tc>
        <w:tc>
          <w:tcPr>
            <w:tcW w:w="1702" w:type="dxa"/>
            <w:vAlign w:val="center"/>
          </w:tcPr>
          <w:p w14:paraId="16940B7E" w14:textId="77777777" w:rsidR="0017525B" w:rsidRPr="006143F5" w:rsidRDefault="0017525B" w:rsidP="00CA415A">
            <w:pPr>
              <w:jc w:val="left"/>
              <w:rPr>
                <w:sz w:val="20"/>
                <w:szCs w:val="20"/>
              </w:rPr>
            </w:pPr>
            <w:r w:rsidRPr="006143F5">
              <w:rPr>
                <w:sz w:val="20"/>
                <w:szCs w:val="20"/>
              </w:rPr>
              <w:t>Near-source confined and short-term reversible impact. (Remediation is typically within a week).</w:t>
            </w:r>
          </w:p>
        </w:tc>
        <w:tc>
          <w:tcPr>
            <w:tcW w:w="1701" w:type="dxa"/>
            <w:vAlign w:val="center"/>
          </w:tcPr>
          <w:p w14:paraId="48899BBE" w14:textId="77777777" w:rsidR="0017525B" w:rsidRPr="006143F5" w:rsidRDefault="0017525B" w:rsidP="00CA415A">
            <w:pPr>
              <w:jc w:val="left"/>
              <w:rPr>
                <w:sz w:val="20"/>
                <w:szCs w:val="20"/>
              </w:rPr>
            </w:pPr>
            <w:r w:rsidRPr="006143F5">
              <w:rPr>
                <w:sz w:val="20"/>
                <w:szCs w:val="20"/>
              </w:rPr>
              <w:t>Near-source confined and medium term recovery impact. (Remediation is typically within a month).</w:t>
            </w:r>
          </w:p>
        </w:tc>
        <w:tc>
          <w:tcPr>
            <w:tcW w:w="1702" w:type="dxa"/>
            <w:vAlign w:val="center"/>
          </w:tcPr>
          <w:p w14:paraId="62289FFD" w14:textId="77777777" w:rsidR="0017525B" w:rsidRPr="006143F5" w:rsidRDefault="0017525B" w:rsidP="00CA415A">
            <w:pPr>
              <w:jc w:val="left"/>
              <w:rPr>
                <w:sz w:val="20"/>
                <w:szCs w:val="20"/>
              </w:rPr>
            </w:pPr>
            <w:r w:rsidRPr="006143F5">
              <w:rPr>
                <w:sz w:val="20"/>
                <w:szCs w:val="20"/>
              </w:rPr>
              <w:t>Impact that is unconfined and requires long-term recovery, leaving residual damage (Remediation up to one year).</w:t>
            </w:r>
          </w:p>
        </w:tc>
        <w:tc>
          <w:tcPr>
            <w:tcW w:w="1707" w:type="dxa"/>
            <w:gridSpan w:val="2"/>
            <w:vAlign w:val="center"/>
          </w:tcPr>
          <w:p w14:paraId="4B8E9031" w14:textId="77777777" w:rsidR="0017525B" w:rsidRPr="006143F5" w:rsidRDefault="0017525B" w:rsidP="00CA415A">
            <w:pPr>
              <w:jc w:val="left"/>
              <w:rPr>
                <w:sz w:val="20"/>
                <w:szCs w:val="20"/>
              </w:rPr>
            </w:pPr>
            <w:r w:rsidRPr="006143F5">
              <w:rPr>
                <w:sz w:val="20"/>
                <w:szCs w:val="20"/>
              </w:rPr>
              <w:t>Impact that is widespread, unconfined and requires long term recovery, leaving major residual damage. (Remediation &gt; one year).</w:t>
            </w:r>
          </w:p>
        </w:tc>
      </w:tr>
      <w:tr w:rsidR="0017525B" w:rsidRPr="006143F5" w14:paraId="581D2C4F" w14:textId="77777777" w:rsidTr="00CA415A">
        <w:tblPrEx>
          <w:jc w:val="center"/>
          <w:tblInd w:w="0" w:type="dxa"/>
        </w:tblPrEx>
        <w:trPr>
          <w:trHeight w:val="735"/>
          <w:jc w:val="center"/>
        </w:trPr>
        <w:tc>
          <w:tcPr>
            <w:tcW w:w="1701" w:type="dxa"/>
            <w:shd w:val="pct10" w:color="auto" w:fill="auto"/>
            <w:vAlign w:val="center"/>
          </w:tcPr>
          <w:p w14:paraId="722037D8" w14:textId="77777777" w:rsidR="0017525B" w:rsidRPr="006143F5" w:rsidRDefault="0017525B" w:rsidP="00CA415A">
            <w:pPr>
              <w:jc w:val="center"/>
              <w:rPr>
                <w:b/>
                <w:bCs/>
                <w:sz w:val="20"/>
                <w:szCs w:val="20"/>
              </w:rPr>
            </w:pPr>
            <w:r w:rsidRPr="006143F5">
              <w:rPr>
                <w:b/>
                <w:bCs/>
                <w:sz w:val="20"/>
                <w:szCs w:val="20"/>
              </w:rPr>
              <w:t>Cultural Heritage</w:t>
            </w:r>
          </w:p>
        </w:tc>
        <w:tc>
          <w:tcPr>
            <w:tcW w:w="1702" w:type="dxa"/>
            <w:vAlign w:val="center"/>
          </w:tcPr>
          <w:p w14:paraId="590B56E6" w14:textId="77777777" w:rsidR="0017525B" w:rsidRPr="006143F5" w:rsidRDefault="0017525B" w:rsidP="00CA415A">
            <w:pPr>
              <w:jc w:val="left"/>
              <w:rPr>
                <w:sz w:val="20"/>
                <w:szCs w:val="20"/>
              </w:rPr>
            </w:pPr>
            <w:r w:rsidRPr="006143F5">
              <w:rPr>
                <w:sz w:val="20"/>
                <w:szCs w:val="20"/>
              </w:rPr>
              <w:t xml:space="preserve">Low-level repairable damage to common </w:t>
            </w:r>
            <w:r w:rsidRPr="006143F5">
              <w:rPr>
                <w:sz w:val="20"/>
                <w:szCs w:val="20"/>
              </w:rPr>
              <w:lastRenderedPageBreak/>
              <w:t>structures or sites. No adverse impacts to CH values.</w:t>
            </w:r>
          </w:p>
        </w:tc>
        <w:tc>
          <w:tcPr>
            <w:tcW w:w="1702" w:type="dxa"/>
            <w:vAlign w:val="center"/>
          </w:tcPr>
          <w:p w14:paraId="23119218" w14:textId="77777777" w:rsidR="0017525B" w:rsidRPr="006143F5" w:rsidRDefault="0017525B" w:rsidP="00CA415A">
            <w:pPr>
              <w:jc w:val="left"/>
              <w:rPr>
                <w:sz w:val="20"/>
                <w:szCs w:val="20"/>
              </w:rPr>
            </w:pPr>
            <w:r w:rsidRPr="006143F5">
              <w:rPr>
                <w:sz w:val="20"/>
                <w:szCs w:val="20"/>
              </w:rPr>
              <w:lastRenderedPageBreak/>
              <w:t xml:space="preserve">Minor damage to items of low cultural significance. </w:t>
            </w:r>
            <w:r w:rsidRPr="006143F5">
              <w:rPr>
                <w:sz w:val="20"/>
                <w:szCs w:val="20"/>
              </w:rPr>
              <w:lastRenderedPageBreak/>
              <w:t>Minor infringement of CH values.</w:t>
            </w:r>
          </w:p>
        </w:tc>
        <w:tc>
          <w:tcPr>
            <w:tcW w:w="1701" w:type="dxa"/>
            <w:vAlign w:val="center"/>
          </w:tcPr>
          <w:p w14:paraId="741E62B4" w14:textId="77777777" w:rsidR="0017525B" w:rsidRPr="006143F5" w:rsidRDefault="0017525B" w:rsidP="00CA415A">
            <w:pPr>
              <w:jc w:val="left"/>
              <w:rPr>
                <w:sz w:val="20"/>
                <w:szCs w:val="20"/>
              </w:rPr>
            </w:pPr>
            <w:r w:rsidRPr="006143F5">
              <w:rPr>
                <w:sz w:val="20"/>
                <w:szCs w:val="20"/>
              </w:rPr>
              <w:lastRenderedPageBreak/>
              <w:t xml:space="preserve">Substantial damage to item of moderate cultural </w:t>
            </w:r>
            <w:r w:rsidRPr="006143F5">
              <w:rPr>
                <w:sz w:val="20"/>
                <w:szCs w:val="20"/>
              </w:rPr>
              <w:lastRenderedPageBreak/>
              <w:t>significance. Infringement of CH or sacred locations.</w:t>
            </w:r>
          </w:p>
        </w:tc>
        <w:tc>
          <w:tcPr>
            <w:tcW w:w="1702" w:type="dxa"/>
            <w:vAlign w:val="center"/>
          </w:tcPr>
          <w:p w14:paraId="4CBD983D" w14:textId="77777777" w:rsidR="0017525B" w:rsidRPr="006143F5" w:rsidRDefault="0017525B" w:rsidP="00CA415A">
            <w:pPr>
              <w:jc w:val="left"/>
              <w:rPr>
                <w:sz w:val="20"/>
                <w:szCs w:val="20"/>
              </w:rPr>
            </w:pPr>
            <w:r w:rsidRPr="006143F5">
              <w:rPr>
                <w:sz w:val="20"/>
                <w:szCs w:val="20"/>
              </w:rPr>
              <w:lastRenderedPageBreak/>
              <w:t xml:space="preserve">Permanent damage to items of high cultural significance. </w:t>
            </w:r>
            <w:r w:rsidRPr="006143F5">
              <w:rPr>
                <w:sz w:val="20"/>
                <w:szCs w:val="20"/>
              </w:rPr>
              <w:lastRenderedPageBreak/>
              <w:t>Significant infringement and disregard of CH values.</w:t>
            </w:r>
          </w:p>
        </w:tc>
        <w:tc>
          <w:tcPr>
            <w:tcW w:w="1707" w:type="dxa"/>
            <w:gridSpan w:val="2"/>
            <w:vAlign w:val="center"/>
          </w:tcPr>
          <w:p w14:paraId="208637F3" w14:textId="77777777" w:rsidR="0017525B" w:rsidRPr="006143F5" w:rsidRDefault="0017525B" w:rsidP="00CA415A">
            <w:pPr>
              <w:jc w:val="left"/>
              <w:rPr>
                <w:sz w:val="20"/>
                <w:szCs w:val="20"/>
              </w:rPr>
            </w:pPr>
            <w:r w:rsidRPr="006143F5">
              <w:rPr>
                <w:sz w:val="20"/>
                <w:szCs w:val="20"/>
              </w:rPr>
              <w:lastRenderedPageBreak/>
              <w:t xml:space="preserve">Destruction of items of high cultural significance. </w:t>
            </w:r>
            <w:r w:rsidRPr="006143F5">
              <w:rPr>
                <w:sz w:val="20"/>
                <w:szCs w:val="20"/>
              </w:rPr>
              <w:lastRenderedPageBreak/>
              <w:t>Highly offensive infringement of cultural values.</w:t>
            </w:r>
          </w:p>
        </w:tc>
      </w:tr>
      <w:tr w:rsidR="0017525B" w:rsidRPr="006143F5" w14:paraId="6CB3BFE7" w14:textId="77777777" w:rsidTr="00CA415A">
        <w:tblPrEx>
          <w:jc w:val="center"/>
          <w:tblInd w:w="0" w:type="dxa"/>
        </w:tblPrEx>
        <w:trPr>
          <w:trHeight w:val="735"/>
          <w:jc w:val="center"/>
        </w:trPr>
        <w:tc>
          <w:tcPr>
            <w:tcW w:w="1701" w:type="dxa"/>
            <w:shd w:val="pct10" w:color="auto" w:fill="auto"/>
            <w:vAlign w:val="center"/>
          </w:tcPr>
          <w:p w14:paraId="7239B407" w14:textId="77777777" w:rsidR="0017525B" w:rsidRPr="006143F5" w:rsidRDefault="0017525B" w:rsidP="00CA415A">
            <w:pPr>
              <w:jc w:val="center"/>
              <w:rPr>
                <w:b/>
                <w:bCs/>
                <w:sz w:val="20"/>
                <w:szCs w:val="20"/>
              </w:rPr>
            </w:pPr>
            <w:r w:rsidRPr="006143F5">
              <w:rPr>
                <w:b/>
                <w:bCs/>
                <w:sz w:val="20"/>
                <w:szCs w:val="20"/>
              </w:rPr>
              <w:lastRenderedPageBreak/>
              <w:t>Reputation</w:t>
            </w:r>
          </w:p>
        </w:tc>
        <w:tc>
          <w:tcPr>
            <w:tcW w:w="1702" w:type="dxa"/>
            <w:vAlign w:val="center"/>
          </w:tcPr>
          <w:p w14:paraId="2ABC6EE0" w14:textId="77777777" w:rsidR="0017525B" w:rsidRPr="006143F5" w:rsidRDefault="0017525B" w:rsidP="00CA415A">
            <w:pPr>
              <w:jc w:val="left"/>
              <w:rPr>
                <w:sz w:val="20"/>
                <w:szCs w:val="20"/>
              </w:rPr>
            </w:pPr>
            <w:r w:rsidRPr="006143F5">
              <w:rPr>
                <w:sz w:val="20"/>
                <w:szCs w:val="20"/>
              </w:rPr>
              <w:t>Localised temporary impact. Community complaint resolved via site procedures or one-off public exposure in local media.</w:t>
            </w:r>
          </w:p>
        </w:tc>
        <w:tc>
          <w:tcPr>
            <w:tcW w:w="1702" w:type="dxa"/>
            <w:vAlign w:val="center"/>
          </w:tcPr>
          <w:p w14:paraId="19F64472" w14:textId="77777777" w:rsidR="0017525B" w:rsidRPr="006143F5" w:rsidRDefault="0017525B" w:rsidP="00CA415A">
            <w:pPr>
              <w:jc w:val="left"/>
              <w:rPr>
                <w:sz w:val="20"/>
                <w:szCs w:val="20"/>
              </w:rPr>
            </w:pPr>
            <w:r w:rsidRPr="006143F5">
              <w:rPr>
                <w:sz w:val="20"/>
                <w:szCs w:val="20"/>
              </w:rPr>
              <w:t>Localised, short term impact.</w:t>
            </w:r>
            <w:r w:rsidRPr="006143F5">
              <w:rPr>
                <w:sz w:val="20"/>
                <w:szCs w:val="20"/>
              </w:rPr>
              <w:br/>
              <w:t>Impact Significant public exposure in local media.</w:t>
            </w:r>
          </w:p>
        </w:tc>
        <w:tc>
          <w:tcPr>
            <w:tcW w:w="1701" w:type="dxa"/>
            <w:vAlign w:val="center"/>
          </w:tcPr>
          <w:p w14:paraId="17AC7E51" w14:textId="1C8BC80E" w:rsidR="0017525B" w:rsidRPr="006143F5" w:rsidRDefault="0017525B" w:rsidP="00CA415A">
            <w:pPr>
              <w:jc w:val="left"/>
              <w:rPr>
                <w:sz w:val="20"/>
                <w:szCs w:val="20"/>
              </w:rPr>
            </w:pPr>
            <w:r w:rsidRPr="006143F5">
              <w:rPr>
                <w:sz w:val="20"/>
                <w:szCs w:val="20"/>
              </w:rPr>
              <w:t>Localised, long term impact but manageab</w:t>
            </w:r>
            <w:r>
              <w:rPr>
                <w:sz w:val="20"/>
                <w:szCs w:val="20"/>
              </w:rPr>
              <w:t>le.</w:t>
            </w:r>
            <w:r>
              <w:rPr>
                <w:sz w:val="20"/>
                <w:szCs w:val="20"/>
              </w:rPr>
              <w:br/>
              <w:t>Impact on reputation of KRES</w:t>
            </w:r>
            <w:r w:rsidRPr="006143F5">
              <w:rPr>
                <w:sz w:val="20"/>
                <w:szCs w:val="20"/>
              </w:rPr>
              <w:t>. Public exposure in national media.</w:t>
            </w:r>
          </w:p>
        </w:tc>
        <w:tc>
          <w:tcPr>
            <w:tcW w:w="1702" w:type="dxa"/>
            <w:vAlign w:val="center"/>
          </w:tcPr>
          <w:p w14:paraId="4F76A60B" w14:textId="786310C3" w:rsidR="0017525B" w:rsidRPr="006143F5" w:rsidRDefault="0017525B" w:rsidP="00CA415A">
            <w:pPr>
              <w:jc w:val="left"/>
              <w:rPr>
                <w:sz w:val="20"/>
                <w:szCs w:val="20"/>
              </w:rPr>
            </w:pPr>
            <w:r w:rsidRPr="006143F5">
              <w:rPr>
                <w:sz w:val="20"/>
                <w:szCs w:val="20"/>
              </w:rPr>
              <w:t>Localised, long term impact with unmanageable outcom</w:t>
            </w:r>
            <w:r>
              <w:rPr>
                <w:sz w:val="20"/>
                <w:szCs w:val="20"/>
              </w:rPr>
              <w:t>es. Impact on reputation of KRES</w:t>
            </w:r>
            <w:r w:rsidRPr="006143F5">
              <w:rPr>
                <w:sz w:val="20"/>
                <w:szCs w:val="20"/>
              </w:rPr>
              <w:t>. Public exposure in international media.</w:t>
            </w:r>
          </w:p>
        </w:tc>
        <w:tc>
          <w:tcPr>
            <w:tcW w:w="1707" w:type="dxa"/>
            <w:gridSpan w:val="2"/>
            <w:vAlign w:val="center"/>
          </w:tcPr>
          <w:p w14:paraId="15CCCBD1" w14:textId="56AF19F3" w:rsidR="0017525B" w:rsidRPr="006143F5" w:rsidRDefault="0017525B" w:rsidP="00CA415A">
            <w:pPr>
              <w:jc w:val="left"/>
              <w:rPr>
                <w:sz w:val="20"/>
                <w:szCs w:val="20"/>
              </w:rPr>
            </w:pPr>
            <w:r w:rsidRPr="006143F5">
              <w:rPr>
                <w:sz w:val="20"/>
                <w:szCs w:val="20"/>
              </w:rPr>
              <w:t>Long term regional impact. Severe im</w:t>
            </w:r>
            <w:r>
              <w:rPr>
                <w:sz w:val="20"/>
                <w:szCs w:val="20"/>
              </w:rPr>
              <w:t>pact on reputation of KRES</w:t>
            </w:r>
            <w:r w:rsidRPr="006143F5">
              <w:rPr>
                <w:sz w:val="20"/>
                <w:szCs w:val="20"/>
              </w:rPr>
              <w:t>.</w:t>
            </w:r>
            <w:r w:rsidRPr="006143F5">
              <w:rPr>
                <w:sz w:val="20"/>
                <w:szCs w:val="20"/>
              </w:rPr>
              <w:br/>
              <w:t>Extended exposure in international media.</w:t>
            </w:r>
          </w:p>
        </w:tc>
      </w:tr>
      <w:tr w:rsidR="0017525B" w:rsidRPr="006143F5" w14:paraId="010BB0C3" w14:textId="77777777" w:rsidTr="00CA415A">
        <w:tblPrEx>
          <w:jc w:val="center"/>
          <w:tblInd w:w="0" w:type="dxa"/>
        </w:tblPrEx>
        <w:trPr>
          <w:trHeight w:val="735"/>
          <w:jc w:val="center"/>
        </w:trPr>
        <w:tc>
          <w:tcPr>
            <w:tcW w:w="1701" w:type="dxa"/>
            <w:shd w:val="pct10" w:color="auto" w:fill="auto"/>
            <w:vAlign w:val="center"/>
          </w:tcPr>
          <w:p w14:paraId="46D5FCD9" w14:textId="77777777" w:rsidR="0017525B" w:rsidRPr="006143F5" w:rsidRDefault="0017525B" w:rsidP="00CA415A">
            <w:pPr>
              <w:jc w:val="center"/>
              <w:rPr>
                <w:b/>
                <w:bCs/>
                <w:sz w:val="20"/>
                <w:szCs w:val="20"/>
              </w:rPr>
            </w:pPr>
            <w:r w:rsidRPr="006143F5">
              <w:rPr>
                <w:b/>
                <w:bCs/>
                <w:sz w:val="20"/>
                <w:szCs w:val="20"/>
              </w:rPr>
              <w:t>Legal &amp; Compliance</w:t>
            </w:r>
          </w:p>
        </w:tc>
        <w:tc>
          <w:tcPr>
            <w:tcW w:w="1702" w:type="dxa"/>
            <w:vAlign w:val="center"/>
          </w:tcPr>
          <w:p w14:paraId="1A51FB75" w14:textId="77777777" w:rsidR="0017525B" w:rsidRPr="006143F5" w:rsidRDefault="0017525B" w:rsidP="00CA415A">
            <w:pPr>
              <w:jc w:val="left"/>
              <w:rPr>
                <w:sz w:val="20"/>
                <w:szCs w:val="20"/>
              </w:rPr>
            </w:pPr>
            <w:r w:rsidRPr="006143F5">
              <w:rPr>
                <w:sz w:val="20"/>
                <w:szCs w:val="20"/>
              </w:rPr>
              <w:t>Minor non- compliance, no external attention.</w:t>
            </w:r>
          </w:p>
          <w:p w14:paraId="56287D30" w14:textId="77777777" w:rsidR="0017525B" w:rsidRPr="006143F5" w:rsidRDefault="0017525B" w:rsidP="00CA415A">
            <w:pPr>
              <w:jc w:val="left"/>
              <w:rPr>
                <w:sz w:val="20"/>
                <w:szCs w:val="20"/>
              </w:rPr>
            </w:pPr>
          </w:p>
          <w:p w14:paraId="6A57716D" w14:textId="77777777" w:rsidR="0017525B" w:rsidRPr="006143F5" w:rsidRDefault="0017525B" w:rsidP="00CA415A">
            <w:pPr>
              <w:jc w:val="left"/>
              <w:rPr>
                <w:sz w:val="20"/>
                <w:szCs w:val="20"/>
              </w:rPr>
            </w:pPr>
            <w:r w:rsidRPr="006143F5">
              <w:rPr>
                <w:sz w:val="20"/>
                <w:szCs w:val="20"/>
              </w:rPr>
              <w:t>Minor breach of contract</w:t>
            </w:r>
          </w:p>
        </w:tc>
        <w:tc>
          <w:tcPr>
            <w:tcW w:w="1702" w:type="dxa"/>
            <w:vAlign w:val="center"/>
          </w:tcPr>
          <w:p w14:paraId="37A75E61" w14:textId="77777777" w:rsidR="0017525B" w:rsidRPr="006143F5" w:rsidRDefault="0017525B" w:rsidP="00CA415A">
            <w:pPr>
              <w:jc w:val="left"/>
              <w:rPr>
                <w:sz w:val="20"/>
                <w:szCs w:val="20"/>
              </w:rPr>
            </w:pPr>
            <w:r w:rsidRPr="006143F5">
              <w:rPr>
                <w:sz w:val="20"/>
                <w:szCs w:val="20"/>
              </w:rPr>
              <w:t>Statutory non-compliance resulting in notices or external investigation.</w:t>
            </w:r>
          </w:p>
          <w:p w14:paraId="2ADC8BC7" w14:textId="77777777" w:rsidR="0017525B" w:rsidRPr="006143F5" w:rsidRDefault="0017525B" w:rsidP="00CA415A">
            <w:pPr>
              <w:jc w:val="left"/>
              <w:rPr>
                <w:sz w:val="20"/>
                <w:szCs w:val="20"/>
              </w:rPr>
            </w:pPr>
          </w:p>
          <w:p w14:paraId="69EB1148" w14:textId="77777777" w:rsidR="0017525B" w:rsidRPr="006143F5" w:rsidRDefault="0017525B" w:rsidP="00CA415A">
            <w:pPr>
              <w:jc w:val="left"/>
              <w:rPr>
                <w:sz w:val="20"/>
                <w:szCs w:val="20"/>
              </w:rPr>
            </w:pPr>
            <w:r w:rsidRPr="006143F5">
              <w:rPr>
                <w:sz w:val="20"/>
                <w:szCs w:val="20"/>
              </w:rPr>
              <w:t>Contractual dispute that results in minor operational delay/cost</w:t>
            </w:r>
          </w:p>
        </w:tc>
        <w:tc>
          <w:tcPr>
            <w:tcW w:w="1701" w:type="dxa"/>
            <w:vAlign w:val="center"/>
          </w:tcPr>
          <w:p w14:paraId="7A02D5A3" w14:textId="77777777" w:rsidR="0017525B" w:rsidRPr="006143F5" w:rsidRDefault="0017525B" w:rsidP="00CA415A">
            <w:pPr>
              <w:jc w:val="left"/>
              <w:rPr>
                <w:sz w:val="20"/>
                <w:szCs w:val="20"/>
              </w:rPr>
            </w:pPr>
            <w:r w:rsidRPr="006143F5">
              <w:rPr>
                <w:sz w:val="20"/>
                <w:szCs w:val="20"/>
              </w:rPr>
              <w:t>Non-Compliance with statutory notices. Investigation resulting in show cause, on-the-spot or summary fine or penalty.</w:t>
            </w:r>
          </w:p>
          <w:p w14:paraId="59CAD04A" w14:textId="77777777" w:rsidR="0017525B" w:rsidRPr="006143F5" w:rsidRDefault="0017525B" w:rsidP="00CA415A">
            <w:pPr>
              <w:jc w:val="left"/>
              <w:rPr>
                <w:sz w:val="20"/>
                <w:szCs w:val="20"/>
              </w:rPr>
            </w:pPr>
            <w:r w:rsidRPr="006143F5">
              <w:rPr>
                <w:sz w:val="20"/>
                <w:szCs w:val="20"/>
              </w:rPr>
              <w:t>Litigation at operational level.</w:t>
            </w:r>
          </w:p>
        </w:tc>
        <w:tc>
          <w:tcPr>
            <w:tcW w:w="1702" w:type="dxa"/>
            <w:vAlign w:val="center"/>
          </w:tcPr>
          <w:p w14:paraId="54A58D4F" w14:textId="77777777" w:rsidR="0017525B" w:rsidRPr="006143F5" w:rsidRDefault="0017525B" w:rsidP="00CA415A">
            <w:pPr>
              <w:jc w:val="left"/>
              <w:rPr>
                <w:sz w:val="20"/>
                <w:szCs w:val="20"/>
              </w:rPr>
            </w:pPr>
            <w:r w:rsidRPr="006143F5">
              <w:rPr>
                <w:sz w:val="20"/>
                <w:szCs w:val="20"/>
              </w:rPr>
              <w:t>Material litigation or formal prosecution resulting in financial penalty and moderate project/operational impact.</w:t>
            </w:r>
          </w:p>
        </w:tc>
        <w:tc>
          <w:tcPr>
            <w:tcW w:w="1707" w:type="dxa"/>
            <w:gridSpan w:val="2"/>
            <w:vAlign w:val="center"/>
          </w:tcPr>
          <w:p w14:paraId="6E2AF526" w14:textId="77777777" w:rsidR="0017525B" w:rsidRPr="006143F5" w:rsidRDefault="0017525B" w:rsidP="00CA415A">
            <w:pPr>
              <w:jc w:val="left"/>
              <w:rPr>
                <w:sz w:val="20"/>
                <w:szCs w:val="20"/>
              </w:rPr>
            </w:pPr>
            <w:r w:rsidRPr="006143F5">
              <w:rPr>
                <w:sz w:val="20"/>
                <w:szCs w:val="20"/>
              </w:rPr>
              <w:t>Successful prosecution resulting in conviction or suspended / severely reduced operations imposed or severe effect on the licence to operate.</w:t>
            </w:r>
          </w:p>
        </w:tc>
      </w:tr>
      <w:tr w:rsidR="0017525B" w:rsidRPr="006143F5" w14:paraId="04886E3C" w14:textId="77777777" w:rsidTr="00CA415A">
        <w:tblPrEx>
          <w:jc w:val="center"/>
          <w:tblInd w:w="0" w:type="dxa"/>
        </w:tblPrEx>
        <w:trPr>
          <w:trHeight w:val="735"/>
          <w:jc w:val="center"/>
        </w:trPr>
        <w:tc>
          <w:tcPr>
            <w:tcW w:w="1701" w:type="dxa"/>
            <w:shd w:val="pct10" w:color="auto" w:fill="auto"/>
            <w:vAlign w:val="center"/>
          </w:tcPr>
          <w:p w14:paraId="3888E95B" w14:textId="77777777" w:rsidR="0017525B" w:rsidRPr="006143F5" w:rsidRDefault="0017525B" w:rsidP="00CA415A">
            <w:pPr>
              <w:jc w:val="center"/>
              <w:rPr>
                <w:b/>
                <w:bCs/>
                <w:sz w:val="20"/>
                <w:szCs w:val="20"/>
              </w:rPr>
            </w:pPr>
            <w:r w:rsidRPr="006143F5">
              <w:rPr>
                <w:b/>
                <w:bCs/>
                <w:sz w:val="20"/>
                <w:szCs w:val="20"/>
              </w:rPr>
              <w:t>Financial</w:t>
            </w:r>
          </w:p>
        </w:tc>
        <w:tc>
          <w:tcPr>
            <w:tcW w:w="1702" w:type="dxa"/>
            <w:vAlign w:val="center"/>
          </w:tcPr>
          <w:p w14:paraId="776D0A98" w14:textId="77777777" w:rsidR="0017525B" w:rsidRPr="006143F5" w:rsidRDefault="0017525B" w:rsidP="00CA415A">
            <w:pPr>
              <w:jc w:val="left"/>
              <w:rPr>
                <w:sz w:val="20"/>
                <w:szCs w:val="20"/>
              </w:rPr>
            </w:pPr>
            <w:r w:rsidRPr="006143F5">
              <w:rPr>
                <w:sz w:val="20"/>
                <w:szCs w:val="20"/>
              </w:rPr>
              <w:t>Cost up to 5% of value of asset or contract.</w:t>
            </w:r>
          </w:p>
        </w:tc>
        <w:tc>
          <w:tcPr>
            <w:tcW w:w="1702" w:type="dxa"/>
            <w:vAlign w:val="center"/>
          </w:tcPr>
          <w:p w14:paraId="2D3C59EA" w14:textId="77777777" w:rsidR="0017525B" w:rsidRPr="006143F5" w:rsidRDefault="0017525B" w:rsidP="00CA415A">
            <w:pPr>
              <w:jc w:val="left"/>
              <w:rPr>
                <w:sz w:val="20"/>
                <w:szCs w:val="20"/>
              </w:rPr>
            </w:pPr>
            <w:r w:rsidRPr="006143F5">
              <w:rPr>
                <w:sz w:val="20"/>
                <w:szCs w:val="20"/>
              </w:rPr>
              <w:t>Cost 6% - 10% of value of asset or contract.</w:t>
            </w:r>
          </w:p>
        </w:tc>
        <w:tc>
          <w:tcPr>
            <w:tcW w:w="1701" w:type="dxa"/>
            <w:vAlign w:val="center"/>
          </w:tcPr>
          <w:p w14:paraId="7F5220AC" w14:textId="77777777" w:rsidR="0017525B" w:rsidRPr="006143F5" w:rsidRDefault="0017525B" w:rsidP="00CA415A">
            <w:pPr>
              <w:jc w:val="left"/>
              <w:rPr>
                <w:sz w:val="20"/>
                <w:szCs w:val="20"/>
              </w:rPr>
            </w:pPr>
            <w:r w:rsidRPr="006143F5">
              <w:rPr>
                <w:sz w:val="20"/>
                <w:szCs w:val="20"/>
              </w:rPr>
              <w:t>Cost 11% - 15% of value of asset or contract.</w:t>
            </w:r>
          </w:p>
        </w:tc>
        <w:tc>
          <w:tcPr>
            <w:tcW w:w="1702" w:type="dxa"/>
            <w:vAlign w:val="center"/>
          </w:tcPr>
          <w:p w14:paraId="0CBC6F4F" w14:textId="77777777" w:rsidR="0017525B" w:rsidRPr="006143F5" w:rsidRDefault="0017525B" w:rsidP="00CA415A">
            <w:pPr>
              <w:jc w:val="left"/>
              <w:rPr>
                <w:sz w:val="20"/>
                <w:szCs w:val="20"/>
              </w:rPr>
            </w:pPr>
            <w:r w:rsidRPr="006143F5">
              <w:rPr>
                <w:sz w:val="20"/>
                <w:szCs w:val="20"/>
              </w:rPr>
              <w:t>Cost 16% - 20% of value of asset or contract.</w:t>
            </w:r>
          </w:p>
        </w:tc>
        <w:tc>
          <w:tcPr>
            <w:tcW w:w="1707" w:type="dxa"/>
            <w:gridSpan w:val="2"/>
            <w:vAlign w:val="center"/>
          </w:tcPr>
          <w:p w14:paraId="3406D0E3" w14:textId="77777777" w:rsidR="0017525B" w:rsidRPr="006143F5" w:rsidRDefault="0017525B" w:rsidP="00CA415A">
            <w:pPr>
              <w:jc w:val="left"/>
              <w:rPr>
                <w:sz w:val="20"/>
                <w:szCs w:val="20"/>
              </w:rPr>
            </w:pPr>
            <w:r w:rsidRPr="006143F5">
              <w:rPr>
                <w:sz w:val="20"/>
                <w:szCs w:val="20"/>
              </w:rPr>
              <w:t xml:space="preserve">Cost &gt; 20% of cost of asset or contract. </w:t>
            </w:r>
          </w:p>
        </w:tc>
      </w:tr>
      <w:tr w:rsidR="0017525B" w:rsidRPr="006143F5" w14:paraId="28EE2982" w14:textId="77777777" w:rsidTr="00CA415A">
        <w:tblPrEx>
          <w:jc w:val="center"/>
          <w:tblInd w:w="0" w:type="dxa"/>
        </w:tblPrEx>
        <w:trPr>
          <w:trHeight w:val="1095"/>
          <w:jc w:val="center"/>
        </w:trPr>
        <w:tc>
          <w:tcPr>
            <w:tcW w:w="1701" w:type="dxa"/>
            <w:shd w:val="pct10" w:color="auto" w:fill="auto"/>
            <w:vAlign w:val="center"/>
          </w:tcPr>
          <w:p w14:paraId="00F99824" w14:textId="77777777" w:rsidR="0017525B" w:rsidRPr="006143F5" w:rsidRDefault="0017525B" w:rsidP="00CA415A">
            <w:pPr>
              <w:jc w:val="center"/>
              <w:rPr>
                <w:b/>
                <w:bCs/>
                <w:sz w:val="20"/>
                <w:szCs w:val="20"/>
              </w:rPr>
            </w:pPr>
            <w:r w:rsidRPr="006143F5">
              <w:rPr>
                <w:b/>
                <w:bCs/>
                <w:sz w:val="20"/>
                <w:szCs w:val="20"/>
              </w:rPr>
              <w:t>Schedule &amp; Production</w:t>
            </w:r>
          </w:p>
        </w:tc>
        <w:tc>
          <w:tcPr>
            <w:tcW w:w="1702" w:type="dxa"/>
            <w:vAlign w:val="center"/>
          </w:tcPr>
          <w:p w14:paraId="024E543B" w14:textId="77777777" w:rsidR="0017525B" w:rsidRPr="006143F5" w:rsidRDefault="0017525B" w:rsidP="00CA415A">
            <w:pPr>
              <w:jc w:val="left"/>
              <w:rPr>
                <w:sz w:val="20"/>
                <w:szCs w:val="20"/>
              </w:rPr>
            </w:pPr>
            <w:r w:rsidRPr="006143F5">
              <w:rPr>
                <w:sz w:val="20"/>
                <w:szCs w:val="20"/>
              </w:rPr>
              <w:t>Negligible delays (1-3 days). 0%-2.5% underachievement of budget performance</w:t>
            </w:r>
          </w:p>
        </w:tc>
        <w:tc>
          <w:tcPr>
            <w:tcW w:w="1702" w:type="dxa"/>
            <w:vAlign w:val="center"/>
          </w:tcPr>
          <w:p w14:paraId="120202ED" w14:textId="77777777" w:rsidR="0017525B" w:rsidRPr="006143F5" w:rsidRDefault="0017525B" w:rsidP="00CA415A">
            <w:pPr>
              <w:jc w:val="left"/>
              <w:rPr>
                <w:sz w:val="20"/>
                <w:szCs w:val="20"/>
              </w:rPr>
            </w:pPr>
            <w:r w:rsidRPr="006143F5">
              <w:rPr>
                <w:sz w:val="20"/>
                <w:szCs w:val="20"/>
              </w:rPr>
              <w:t>Moderate delays (4-6 days). 2.5%-5% underachievement of budget performance</w:t>
            </w:r>
          </w:p>
        </w:tc>
        <w:tc>
          <w:tcPr>
            <w:tcW w:w="1701" w:type="dxa"/>
            <w:vAlign w:val="center"/>
          </w:tcPr>
          <w:p w14:paraId="7236F281" w14:textId="77777777" w:rsidR="0017525B" w:rsidRPr="006143F5" w:rsidRDefault="0017525B" w:rsidP="00CA415A">
            <w:pPr>
              <w:jc w:val="left"/>
              <w:rPr>
                <w:sz w:val="20"/>
                <w:szCs w:val="20"/>
              </w:rPr>
            </w:pPr>
            <w:r w:rsidRPr="006143F5">
              <w:rPr>
                <w:sz w:val="20"/>
                <w:szCs w:val="20"/>
              </w:rPr>
              <w:t>Material delays 7-10 days. 6%-10% underachievement of budget performance</w:t>
            </w:r>
          </w:p>
        </w:tc>
        <w:tc>
          <w:tcPr>
            <w:tcW w:w="1702" w:type="dxa"/>
            <w:vAlign w:val="center"/>
          </w:tcPr>
          <w:p w14:paraId="41023D74" w14:textId="77777777" w:rsidR="0017525B" w:rsidRPr="006143F5" w:rsidRDefault="0017525B" w:rsidP="00CA415A">
            <w:pPr>
              <w:jc w:val="left"/>
              <w:rPr>
                <w:sz w:val="20"/>
                <w:szCs w:val="20"/>
              </w:rPr>
            </w:pPr>
            <w:r w:rsidRPr="006143F5">
              <w:rPr>
                <w:sz w:val="20"/>
                <w:szCs w:val="20"/>
              </w:rPr>
              <w:t>Significant delays (11-14 days). 10%-20% underachievement of budget performance.</w:t>
            </w:r>
          </w:p>
        </w:tc>
        <w:tc>
          <w:tcPr>
            <w:tcW w:w="1707" w:type="dxa"/>
            <w:gridSpan w:val="2"/>
            <w:vAlign w:val="center"/>
          </w:tcPr>
          <w:p w14:paraId="0DFC73AB" w14:textId="77777777" w:rsidR="0017525B" w:rsidRPr="006143F5" w:rsidRDefault="0017525B" w:rsidP="00CA415A">
            <w:pPr>
              <w:jc w:val="left"/>
              <w:rPr>
                <w:sz w:val="20"/>
                <w:szCs w:val="20"/>
              </w:rPr>
            </w:pPr>
            <w:r w:rsidRPr="006143F5">
              <w:rPr>
                <w:sz w:val="20"/>
                <w:szCs w:val="20"/>
              </w:rPr>
              <w:t>Major delays (&gt;14 days). &gt;20% underachievement of budget performance.</w:t>
            </w:r>
          </w:p>
        </w:tc>
      </w:tr>
    </w:tbl>
    <w:p w14:paraId="53BB3784" w14:textId="77777777" w:rsidR="0017525B" w:rsidRDefault="0017525B" w:rsidP="0017525B">
      <w:pPr>
        <w:pStyle w:val="Heading2"/>
      </w:pPr>
      <w:bookmarkStart w:id="43" w:name="_Toc536616903"/>
      <w:bookmarkStart w:id="44" w:name="_Toc33890099"/>
      <w:bookmarkStart w:id="45" w:name="_Toc75784376"/>
      <w:r>
        <w:t>Incident Report</w:t>
      </w:r>
      <w:bookmarkEnd w:id="43"/>
      <w:r>
        <w:t>ing</w:t>
      </w:r>
      <w:bookmarkEnd w:id="44"/>
      <w:bookmarkEnd w:id="45"/>
    </w:p>
    <w:p w14:paraId="504DB43E" w14:textId="460E851F" w:rsidR="0017525B" w:rsidRDefault="0017525B" w:rsidP="0017525B">
      <w:pPr>
        <w:pStyle w:val="Body"/>
      </w:pPr>
      <w:r>
        <w:t>All incidents shall be reported to Kaius Mine (KRES) Health, Safety &amp; Training (HS&amp;T) Department in a timely fashion and investigated and reported to the standard required based on the greater of the actual or potential consequence rating.</w:t>
      </w:r>
    </w:p>
    <w:p w14:paraId="5008A0F0" w14:textId="77777777" w:rsidR="0017525B" w:rsidRDefault="0017525B" w:rsidP="0017525B">
      <w:pPr>
        <w:pStyle w:val="Body"/>
      </w:pPr>
      <w:r>
        <w:t>Incident Reporting &amp; Investigation shall be completed and submitted to the SSE for sign off within the timeframes in table 6. The Investigator and the Accountable Person may ask for an extension were mitigating circumstances warrant.</w:t>
      </w:r>
    </w:p>
    <w:p w14:paraId="7612FF09" w14:textId="77777777" w:rsidR="0017525B" w:rsidRDefault="0017525B" w:rsidP="0017525B">
      <w:pPr>
        <w:rPr>
          <w:b/>
        </w:rPr>
      </w:pPr>
    </w:p>
    <w:p w14:paraId="51CEF308" w14:textId="77777777" w:rsidR="0017525B" w:rsidRDefault="0017525B" w:rsidP="0017525B">
      <w:pPr>
        <w:rPr>
          <w:b/>
        </w:rPr>
      </w:pPr>
    </w:p>
    <w:p w14:paraId="0B4E5001" w14:textId="77777777" w:rsidR="0017525B" w:rsidRDefault="0017525B" w:rsidP="0017525B">
      <w:pPr>
        <w:rPr>
          <w:b/>
        </w:rPr>
      </w:pPr>
    </w:p>
    <w:p w14:paraId="565FDE86" w14:textId="77777777" w:rsidR="0017525B" w:rsidRDefault="0017525B" w:rsidP="0017525B">
      <w:pPr>
        <w:rPr>
          <w:b/>
        </w:rPr>
      </w:pPr>
    </w:p>
    <w:p w14:paraId="36E8A24E" w14:textId="77777777" w:rsidR="0017525B" w:rsidRDefault="0017525B" w:rsidP="0017525B">
      <w:pPr>
        <w:rPr>
          <w:b/>
        </w:rPr>
      </w:pPr>
    </w:p>
    <w:p w14:paraId="15A76C32" w14:textId="77777777" w:rsidR="0017525B" w:rsidRDefault="0017525B" w:rsidP="0017525B">
      <w:pPr>
        <w:rPr>
          <w:b/>
        </w:rPr>
      </w:pPr>
    </w:p>
    <w:p w14:paraId="52EE762E" w14:textId="77777777" w:rsidR="0017525B" w:rsidRDefault="0017525B" w:rsidP="0017525B">
      <w:pPr>
        <w:rPr>
          <w:b/>
        </w:rPr>
      </w:pPr>
      <w:r w:rsidRPr="00F7260A">
        <w:rPr>
          <w:b/>
        </w:rPr>
        <w:t>Table 6: Investigation Time Frames</w:t>
      </w:r>
    </w:p>
    <w:p w14:paraId="2138AF82" w14:textId="77777777" w:rsidR="0017525B" w:rsidRPr="00F7260A" w:rsidRDefault="0017525B" w:rsidP="0017525B">
      <w:pPr>
        <w:rPr>
          <w:b/>
        </w:rPr>
      </w:pPr>
    </w:p>
    <w:tbl>
      <w:tblPr>
        <w:tblStyle w:val="TableGrid"/>
        <w:tblW w:w="0" w:type="auto"/>
        <w:tblInd w:w="567" w:type="dxa"/>
        <w:tblLook w:val="04A0" w:firstRow="1" w:lastRow="0" w:firstColumn="1" w:lastColumn="0" w:noHBand="0" w:noVBand="1"/>
      </w:tblPr>
      <w:tblGrid>
        <w:gridCol w:w="3734"/>
        <w:gridCol w:w="1868"/>
        <w:gridCol w:w="1868"/>
        <w:gridCol w:w="1868"/>
      </w:tblGrid>
      <w:tr w:rsidR="0017525B" w14:paraId="40A536EB" w14:textId="77777777" w:rsidTr="00CA415A">
        <w:tc>
          <w:tcPr>
            <w:tcW w:w="9338" w:type="dxa"/>
            <w:gridSpan w:val="4"/>
            <w:shd w:val="clear" w:color="auto" w:fill="E2EFD9" w:themeFill="accent6" w:themeFillTint="33"/>
          </w:tcPr>
          <w:p w14:paraId="16B1DE2E" w14:textId="77777777" w:rsidR="0017525B" w:rsidRPr="002C7FB1" w:rsidRDefault="0017525B" w:rsidP="00CA415A">
            <w:pPr>
              <w:pStyle w:val="Body"/>
              <w:jc w:val="center"/>
              <w:rPr>
                <w:b/>
              </w:rPr>
            </w:pPr>
            <w:r w:rsidRPr="002C7FB1">
              <w:rPr>
                <w:b/>
              </w:rPr>
              <w:lastRenderedPageBreak/>
              <w:t>Investigation Timeframes</w:t>
            </w:r>
          </w:p>
        </w:tc>
      </w:tr>
      <w:tr w:rsidR="0017525B" w14:paraId="15E26DAC" w14:textId="77777777" w:rsidTr="00CA415A">
        <w:tc>
          <w:tcPr>
            <w:tcW w:w="3734" w:type="dxa"/>
            <w:shd w:val="clear" w:color="auto" w:fill="D9D9D9" w:themeFill="background1" w:themeFillShade="D9"/>
          </w:tcPr>
          <w:p w14:paraId="1D38B5A8" w14:textId="77777777" w:rsidR="0017525B" w:rsidRPr="001578B4" w:rsidRDefault="0017525B" w:rsidP="00CA415A">
            <w:pPr>
              <w:pStyle w:val="Body"/>
            </w:pPr>
          </w:p>
        </w:tc>
        <w:tc>
          <w:tcPr>
            <w:tcW w:w="1868" w:type="dxa"/>
            <w:shd w:val="clear" w:color="auto" w:fill="D9D9D9" w:themeFill="background1" w:themeFillShade="D9"/>
          </w:tcPr>
          <w:p w14:paraId="239DB12B" w14:textId="77777777" w:rsidR="0017525B" w:rsidRPr="002C7FB1" w:rsidRDefault="0017525B" w:rsidP="00CA415A">
            <w:pPr>
              <w:pStyle w:val="Body"/>
              <w:ind w:left="0"/>
              <w:rPr>
                <w:b/>
              </w:rPr>
            </w:pPr>
            <w:r w:rsidRPr="002C7FB1">
              <w:rPr>
                <w:b/>
              </w:rPr>
              <w:t>Level 1 &amp; 2</w:t>
            </w:r>
          </w:p>
        </w:tc>
        <w:tc>
          <w:tcPr>
            <w:tcW w:w="1868" w:type="dxa"/>
            <w:shd w:val="clear" w:color="auto" w:fill="D9D9D9" w:themeFill="background1" w:themeFillShade="D9"/>
          </w:tcPr>
          <w:p w14:paraId="73A28EDE" w14:textId="77777777" w:rsidR="0017525B" w:rsidRPr="002C7FB1" w:rsidRDefault="0017525B" w:rsidP="00CA415A">
            <w:pPr>
              <w:pStyle w:val="Body"/>
              <w:ind w:left="0"/>
              <w:rPr>
                <w:b/>
              </w:rPr>
            </w:pPr>
            <w:r w:rsidRPr="002C7FB1">
              <w:rPr>
                <w:b/>
              </w:rPr>
              <w:t>Level 3 Report</w:t>
            </w:r>
          </w:p>
        </w:tc>
        <w:tc>
          <w:tcPr>
            <w:tcW w:w="1868" w:type="dxa"/>
            <w:shd w:val="clear" w:color="auto" w:fill="D9D9D9" w:themeFill="background1" w:themeFillShade="D9"/>
          </w:tcPr>
          <w:p w14:paraId="3E4FC918" w14:textId="77777777" w:rsidR="0017525B" w:rsidRPr="002C7FB1" w:rsidRDefault="0017525B" w:rsidP="00CA415A">
            <w:pPr>
              <w:pStyle w:val="Body"/>
              <w:ind w:left="0"/>
              <w:rPr>
                <w:b/>
              </w:rPr>
            </w:pPr>
            <w:r w:rsidRPr="002C7FB1">
              <w:rPr>
                <w:b/>
              </w:rPr>
              <w:t>ICAM Report</w:t>
            </w:r>
          </w:p>
        </w:tc>
      </w:tr>
      <w:tr w:rsidR="0017525B" w14:paraId="2D4928BE" w14:textId="77777777" w:rsidTr="00CA415A">
        <w:tc>
          <w:tcPr>
            <w:tcW w:w="3734" w:type="dxa"/>
          </w:tcPr>
          <w:p w14:paraId="2A960BB2" w14:textId="77777777" w:rsidR="0017525B" w:rsidRDefault="0017525B" w:rsidP="00CA415A">
            <w:pPr>
              <w:pStyle w:val="Body"/>
            </w:pPr>
            <w:r>
              <w:t>Interim Report</w:t>
            </w:r>
          </w:p>
        </w:tc>
        <w:tc>
          <w:tcPr>
            <w:tcW w:w="1868" w:type="dxa"/>
            <w:shd w:val="clear" w:color="auto" w:fill="D9D9D9" w:themeFill="background1" w:themeFillShade="D9"/>
          </w:tcPr>
          <w:p w14:paraId="594B6595" w14:textId="77777777" w:rsidR="0017525B" w:rsidRDefault="0017525B" w:rsidP="00CA415A">
            <w:pPr>
              <w:pStyle w:val="Body"/>
            </w:pPr>
          </w:p>
        </w:tc>
        <w:tc>
          <w:tcPr>
            <w:tcW w:w="1868" w:type="dxa"/>
          </w:tcPr>
          <w:p w14:paraId="3C84EEA1" w14:textId="77777777" w:rsidR="0017525B" w:rsidRDefault="0017525B" w:rsidP="00CA415A">
            <w:pPr>
              <w:pStyle w:val="Body"/>
            </w:pPr>
            <w:r>
              <w:t>1 Week</w:t>
            </w:r>
          </w:p>
        </w:tc>
        <w:tc>
          <w:tcPr>
            <w:tcW w:w="1868" w:type="dxa"/>
          </w:tcPr>
          <w:p w14:paraId="52C366BC" w14:textId="77777777" w:rsidR="0017525B" w:rsidRDefault="0017525B" w:rsidP="00CA415A">
            <w:pPr>
              <w:pStyle w:val="Body"/>
            </w:pPr>
            <w:r>
              <w:t>2 Weeks</w:t>
            </w:r>
          </w:p>
        </w:tc>
      </w:tr>
      <w:tr w:rsidR="0017525B" w14:paraId="4D7143AE" w14:textId="77777777" w:rsidTr="00CA415A">
        <w:tc>
          <w:tcPr>
            <w:tcW w:w="3734" w:type="dxa"/>
          </w:tcPr>
          <w:p w14:paraId="6AACD0D2" w14:textId="77777777" w:rsidR="0017525B" w:rsidRDefault="0017525B" w:rsidP="00CA415A">
            <w:pPr>
              <w:pStyle w:val="Body"/>
            </w:pPr>
            <w:r>
              <w:t>Completed Report</w:t>
            </w:r>
          </w:p>
        </w:tc>
        <w:tc>
          <w:tcPr>
            <w:tcW w:w="1868" w:type="dxa"/>
          </w:tcPr>
          <w:p w14:paraId="02D3F34A" w14:textId="77777777" w:rsidR="0017525B" w:rsidRDefault="0017525B" w:rsidP="00CA415A">
            <w:pPr>
              <w:pStyle w:val="Body"/>
            </w:pPr>
            <w:r>
              <w:t>1 Week</w:t>
            </w:r>
          </w:p>
        </w:tc>
        <w:tc>
          <w:tcPr>
            <w:tcW w:w="1868" w:type="dxa"/>
          </w:tcPr>
          <w:p w14:paraId="1829200C" w14:textId="77777777" w:rsidR="0017525B" w:rsidRDefault="0017525B" w:rsidP="00CA415A">
            <w:pPr>
              <w:pStyle w:val="Body"/>
            </w:pPr>
            <w:r>
              <w:t>2 Weeks</w:t>
            </w:r>
          </w:p>
        </w:tc>
        <w:tc>
          <w:tcPr>
            <w:tcW w:w="1868" w:type="dxa"/>
          </w:tcPr>
          <w:p w14:paraId="7CBF2EBF" w14:textId="77777777" w:rsidR="0017525B" w:rsidRDefault="0017525B" w:rsidP="00CA415A">
            <w:pPr>
              <w:pStyle w:val="Body"/>
            </w:pPr>
            <w:r>
              <w:t>3 Weeks</w:t>
            </w:r>
          </w:p>
        </w:tc>
      </w:tr>
      <w:tr w:rsidR="0017525B" w14:paraId="364C9F29" w14:textId="77777777" w:rsidTr="00CA415A">
        <w:tc>
          <w:tcPr>
            <w:tcW w:w="3734" w:type="dxa"/>
          </w:tcPr>
          <w:p w14:paraId="0D3E5271" w14:textId="77777777" w:rsidR="0017525B" w:rsidRDefault="0017525B" w:rsidP="00CA415A">
            <w:pPr>
              <w:pStyle w:val="Body"/>
            </w:pPr>
            <w:r>
              <w:t>Time Extended Report</w:t>
            </w:r>
          </w:p>
        </w:tc>
        <w:tc>
          <w:tcPr>
            <w:tcW w:w="1868" w:type="dxa"/>
          </w:tcPr>
          <w:p w14:paraId="2AED5F91" w14:textId="77777777" w:rsidR="0017525B" w:rsidRDefault="0017525B" w:rsidP="00CA415A">
            <w:pPr>
              <w:pStyle w:val="Body"/>
            </w:pPr>
            <w:r>
              <w:t xml:space="preserve">2 Week </w:t>
            </w:r>
          </w:p>
        </w:tc>
        <w:tc>
          <w:tcPr>
            <w:tcW w:w="1868" w:type="dxa"/>
          </w:tcPr>
          <w:p w14:paraId="6F77FF16" w14:textId="77777777" w:rsidR="0017525B" w:rsidRDefault="0017525B" w:rsidP="00CA415A">
            <w:pPr>
              <w:pStyle w:val="Body"/>
            </w:pPr>
            <w:r>
              <w:t>3 Weeks</w:t>
            </w:r>
          </w:p>
        </w:tc>
        <w:tc>
          <w:tcPr>
            <w:tcW w:w="1868" w:type="dxa"/>
          </w:tcPr>
          <w:p w14:paraId="6981DEC8" w14:textId="77777777" w:rsidR="0017525B" w:rsidRDefault="0017525B" w:rsidP="00CA415A">
            <w:pPr>
              <w:pStyle w:val="Body"/>
            </w:pPr>
            <w:r>
              <w:t>4 Weeks</w:t>
            </w:r>
          </w:p>
        </w:tc>
      </w:tr>
    </w:tbl>
    <w:p w14:paraId="3482AF14" w14:textId="77777777" w:rsidR="0017525B" w:rsidRDefault="0017525B" w:rsidP="0017525B">
      <w:pPr>
        <w:pStyle w:val="Body"/>
      </w:pPr>
      <w:r>
        <w:t>All extensions will require an explanation as to why there are delays and what will be done to rectify the situation.</w:t>
      </w:r>
    </w:p>
    <w:p w14:paraId="14835B2D" w14:textId="77777777" w:rsidR="0017525B" w:rsidRDefault="0017525B" w:rsidP="0017525B">
      <w:pPr>
        <w:pStyle w:val="Heading3"/>
        <w:rPr>
          <w:lang w:val="en-AU"/>
        </w:rPr>
      </w:pPr>
      <w:bookmarkStart w:id="46" w:name="_Toc33890100"/>
      <w:bookmarkStart w:id="47" w:name="_Toc75784377"/>
      <w:r>
        <w:rPr>
          <w:lang w:val="en-AU"/>
        </w:rPr>
        <w:t>First Aid Injury Reporting</w:t>
      </w:r>
      <w:bookmarkEnd w:id="46"/>
      <w:bookmarkEnd w:id="47"/>
    </w:p>
    <w:p w14:paraId="0E4D76B6" w14:textId="14E0E53A" w:rsidR="0017525B" w:rsidRDefault="0017525B" w:rsidP="0017525B">
      <w:pPr>
        <w:pStyle w:val="Body"/>
      </w:pPr>
      <w:r>
        <w:t>First Aid or Level 1 Injuries shall be reported to the site Paramedic who will complete a medical report and at the end of the month provide a statistical report to KRES HS&amp;T Department. This will ensure minor first aid injuries are captured and reported in a timely fashion.</w:t>
      </w:r>
    </w:p>
    <w:p w14:paraId="4CCFE1C8" w14:textId="77777777" w:rsidR="0017525B" w:rsidRDefault="0017525B" w:rsidP="0017525B">
      <w:pPr>
        <w:pStyle w:val="Body"/>
      </w:pPr>
      <w:r>
        <w:t xml:space="preserve">If a Level 1 injury is a potential Level 2 then the Paramedic will inform the IP’s Supervisor and an Incident Report shall be completed.  </w:t>
      </w:r>
    </w:p>
    <w:p w14:paraId="5E15A24D" w14:textId="77777777" w:rsidR="0017525B" w:rsidRDefault="0017525B" w:rsidP="0017525B">
      <w:pPr>
        <w:pStyle w:val="Heading3"/>
      </w:pPr>
      <w:bookmarkStart w:id="48" w:name="_Toc33890101"/>
      <w:bookmarkStart w:id="49" w:name="_Toc75784378"/>
      <w:r>
        <w:rPr>
          <w:lang w:val="en-AU"/>
        </w:rPr>
        <w:t>External Reporting Requirements</w:t>
      </w:r>
      <w:bookmarkEnd w:id="48"/>
      <w:bookmarkEnd w:id="49"/>
    </w:p>
    <w:p w14:paraId="7F004C58" w14:textId="7D8CCABC" w:rsidR="0017525B" w:rsidRDefault="0017525B" w:rsidP="0017525B">
      <w:pPr>
        <w:pStyle w:val="Body"/>
      </w:pPr>
      <w:r>
        <w:t>Kaius Mine has several obligations under safety and environmental legislation with regards to reporting prescribed incidents within set time frames. Investigator shall ensure the initial information is passed onto KRES HS&amp;T or Environment Department so these obligations can be met.</w:t>
      </w:r>
    </w:p>
    <w:p w14:paraId="497DCD25" w14:textId="5043D681" w:rsidR="0017525B" w:rsidRDefault="0017525B" w:rsidP="0017525B">
      <w:pPr>
        <w:pStyle w:val="Body"/>
      </w:pPr>
      <w:r w:rsidRPr="001578B4">
        <w:rPr>
          <w:b/>
        </w:rPr>
        <w:t>Note:</w:t>
      </w:r>
      <w:r>
        <w:t xml:space="preserve"> Contractors are not to undertake any external reporting on behalf of Kaius Mine</w:t>
      </w:r>
    </w:p>
    <w:p w14:paraId="7A33E3F9" w14:textId="77777777" w:rsidR="0017525B" w:rsidRDefault="0017525B" w:rsidP="0017525B">
      <w:pPr>
        <w:pStyle w:val="Heading2"/>
        <w:numPr>
          <w:ilvl w:val="0"/>
          <w:numId w:val="0"/>
        </w:numPr>
        <w:ind w:left="576"/>
      </w:pPr>
    </w:p>
    <w:p w14:paraId="33BDB800" w14:textId="77777777" w:rsidR="0017525B" w:rsidRDefault="0017525B" w:rsidP="0017525B">
      <w:pPr>
        <w:pStyle w:val="Heading2"/>
        <w:numPr>
          <w:ilvl w:val="0"/>
          <w:numId w:val="0"/>
        </w:numPr>
        <w:ind w:left="576"/>
      </w:pPr>
    </w:p>
    <w:p w14:paraId="1048AB40" w14:textId="77777777" w:rsidR="0017525B" w:rsidRDefault="0017525B" w:rsidP="0017525B">
      <w:pPr>
        <w:pStyle w:val="Heading2"/>
        <w:numPr>
          <w:ilvl w:val="0"/>
          <w:numId w:val="0"/>
        </w:numPr>
        <w:ind w:left="576"/>
      </w:pPr>
    </w:p>
    <w:p w14:paraId="4EDE6228" w14:textId="77777777" w:rsidR="0017525B" w:rsidRDefault="0017525B" w:rsidP="0017525B">
      <w:pPr>
        <w:pStyle w:val="Heading2"/>
        <w:numPr>
          <w:ilvl w:val="0"/>
          <w:numId w:val="0"/>
        </w:numPr>
        <w:ind w:left="576"/>
      </w:pPr>
    </w:p>
    <w:p w14:paraId="4468834E" w14:textId="77777777" w:rsidR="0017525B" w:rsidRDefault="0017525B" w:rsidP="0017525B">
      <w:pPr>
        <w:pStyle w:val="Heading2"/>
        <w:numPr>
          <w:ilvl w:val="0"/>
          <w:numId w:val="0"/>
        </w:numPr>
        <w:ind w:left="576"/>
      </w:pPr>
    </w:p>
    <w:p w14:paraId="78821AF4" w14:textId="77777777" w:rsidR="0017525B" w:rsidRDefault="0017525B" w:rsidP="0017525B">
      <w:pPr>
        <w:pStyle w:val="Heading2"/>
        <w:numPr>
          <w:ilvl w:val="0"/>
          <w:numId w:val="0"/>
        </w:numPr>
        <w:ind w:left="576"/>
      </w:pPr>
    </w:p>
    <w:p w14:paraId="3250F7C1" w14:textId="77777777" w:rsidR="0017525B" w:rsidRDefault="0017525B" w:rsidP="0017525B">
      <w:pPr>
        <w:pStyle w:val="Heading2"/>
        <w:numPr>
          <w:ilvl w:val="0"/>
          <w:numId w:val="0"/>
        </w:numPr>
        <w:ind w:left="576"/>
      </w:pPr>
    </w:p>
    <w:p w14:paraId="673D7D5B" w14:textId="77777777" w:rsidR="0017525B" w:rsidRDefault="0017525B" w:rsidP="0017525B">
      <w:pPr>
        <w:pStyle w:val="Heading2"/>
        <w:numPr>
          <w:ilvl w:val="0"/>
          <w:numId w:val="0"/>
        </w:numPr>
        <w:ind w:left="576"/>
      </w:pPr>
    </w:p>
    <w:p w14:paraId="3CFEE885" w14:textId="77777777" w:rsidR="0017525B" w:rsidRDefault="0017525B" w:rsidP="0017525B">
      <w:pPr>
        <w:pStyle w:val="Heading2"/>
        <w:numPr>
          <w:ilvl w:val="0"/>
          <w:numId w:val="0"/>
        </w:numPr>
        <w:ind w:left="576"/>
      </w:pPr>
    </w:p>
    <w:p w14:paraId="1A2B15B4" w14:textId="77777777" w:rsidR="0017525B" w:rsidRDefault="0017525B" w:rsidP="0017525B">
      <w:pPr>
        <w:pStyle w:val="Heading2"/>
        <w:numPr>
          <w:ilvl w:val="0"/>
          <w:numId w:val="0"/>
        </w:numPr>
        <w:ind w:left="576"/>
      </w:pPr>
    </w:p>
    <w:p w14:paraId="01EC56A3" w14:textId="77777777" w:rsidR="0017525B" w:rsidRDefault="0017525B" w:rsidP="0017525B">
      <w:pPr>
        <w:pStyle w:val="Heading2"/>
        <w:numPr>
          <w:ilvl w:val="0"/>
          <w:numId w:val="0"/>
        </w:numPr>
        <w:ind w:left="576"/>
      </w:pPr>
    </w:p>
    <w:p w14:paraId="62C46030" w14:textId="77777777" w:rsidR="0017525B" w:rsidRDefault="0017525B" w:rsidP="0017525B">
      <w:pPr>
        <w:pStyle w:val="Heading2"/>
        <w:numPr>
          <w:ilvl w:val="0"/>
          <w:numId w:val="0"/>
        </w:numPr>
        <w:ind w:left="576"/>
      </w:pPr>
      <w:bookmarkStart w:id="50" w:name="_Toc33890102"/>
      <w:bookmarkStart w:id="51" w:name="_Toc75784379"/>
      <w:r>
        <w:t>Table 7: External Reporting Requirement</w:t>
      </w:r>
      <w:bookmarkEnd w:id="50"/>
      <w:bookmarkEnd w:id="51"/>
    </w:p>
    <w:p w14:paraId="22AAFB64" w14:textId="77777777" w:rsidR="0017525B" w:rsidRDefault="0017525B" w:rsidP="0017525B">
      <w:pPr>
        <w:pStyle w:val="Body"/>
      </w:pPr>
      <w:r>
        <w:t xml:space="preserve"> </w:t>
      </w:r>
    </w:p>
    <w:tbl>
      <w:tblPr>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Pr>
      <w:tblGrid>
        <w:gridCol w:w="1310"/>
        <w:gridCol w:w="877"/>
        <w:gridCol w:w="944"/>
        <w:gridCol w:w="1020"/>
        <w:gridCol w:w="1077"/>
        <w:gridCol w:w="1610"/>
        <w:gridCol w:w="1418"/>
        <w:gridCol w:w="1274"/>
      </w:tblGrid>
      <w:tr w:rsidR="0017525B" w:rsidRPr="003F6B7A" w14:paraId="4C986C3B" w14:textId="77777777" w:rsidTr="00CA415A">
        <w:trPr>
          <w:tblHeader/>
          <w:jc w:val="center"/>
        </w:trPr>
        <w:tc>
          <w:tcPr>
            <w:tcW w:w="131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47AEFAA" w14:textId="77777777" w:rsidR="0017525B" w:rsidRPr="003F6B7A" w:rsidRDefault="0017525B" w:rsidP="00CA415A">
            <w:pPr>
              <w:keepNext/>
              <w:keepLines/>
              <w:spacing w:after="200" w:line="276" w:lineRule="auto"/>
              <w:jc w:val="center"/>
              <w:rPr>
                <w:rFonts w:eastAsia="Arial"/>
                <w:b/>
                <w:color w:val="000000" w:themeColor="text1"/>
                <w:sz w:val="14"/>
                <w:szCs w:val="14"/>
                <w:lang w:eastAsia="en-US"/>
              </w:rPr>
            </w:pPr>
            <w:r w:rsidRPr="003F6B7A">
              <w:rPr>
                <w:rFonts w:eastAsia="Arial"/>
                <w:b/>
                <w:color w:val="000000" w:themeColor="text1"/>
                <w:sz w:val="14"/>
                <w:szCs w:val="14"/>
                <w:lang w:eastAsia="en-US"/>
              </w:rPr>
              <w:lastRenderedPageBreak/>
              <w:t>Event Type #1</w:t>
            </w:r>
          </w:p>
        </w:tc>
        <w:tc>
          <w:tcPr>
            <w:tcW w:w="87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B491969" w14:textId="77777777" w:rsidR="0017525B" w:rsidRPr="003F6B7A" w:rsidRDefault="0017525B" w:rsidP="00CA415A">
            <w:pPr>
              <w:keepNext/>
              <w:keepLines/>
              <w:tabs>
                <w:tab w:val="left" w:pos="857"/>
              </w:tabs>
              <w:spacing w:after="200" w:line="276" w:lineRule="auto"/>
              <w:ind w:hanging="115"/>
              <w:jc w:val="center"/>
              <w:rPr>
                <w:rFonts w:eastAsia="Arial"/>
                <w:b/>
                <w:color w:val="000000" w:themeColor="text1"/>
                <w:sz w:val="14"/>
                <w:szCs w:val="14"/>
                <w:lang w:eastAsia="en-US"/>
              </w:rPr>
            </w:pPr>
            <w:proofErr w:type="spellStart"/>
            <w:r w:rsidRPr="003F6B7A">
              <w:rPr>
                <w:rFonts w:eastAsia="Arial"/>
                <w:b/>
                <w:color w:val="000000" w:themeColor="text1"/>
                <w:sz w:val="14"/>
                <w:szCs w:val="14"/>
                <w:lang w:eastAsia="en-US"/>
              </w:rPr>
              <w:t>Communi</w:t>
            </w:r>
            <w:proofErr w:type="spellEnd"/>
            <w:r w:rsidRPr="003F6B7A">
              <w:rPr>
                <w:rFonts w:eastAsia="Arial"/>
                <w:b/>
                <w:color w:val="000000" w:themeColor="text1"/>
                <w:sz w:val="14"/>
                <w:szCs w:val="14"/>
                <w:lang w:eastAsia="en-US"/>
              </w:rPr>
              <w:t>-cation Type</w:t>
            </w:r>
          </w:p>
        </w:tc>
        <w:tc>
          <w:tcPr>
            <w:tcW w:w="94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E60A404"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proofErr w:type="spellStart"/>
            <w:r w:rsidRPr="003F6B7A">
              <w:rPr>
                <w:rFonts w:eastAsia="Arial"/>
                <w:b/>
                <w:color w:val="000000" w:themeColor="text1"/>
                <w:sz w:val="14"/>
                <w:szCs w:val="14"/>
                <w:lang w:eastAsia="en-US"/>
              </w:rPr>
              <w:t>Communi</w:t>
            </w:r>
            <w:proofErr w:type="spellEnd"/>
            <w:r w:rsidRPr="003F6B7A">
              <w:rPr>
                <w:rFonts w:eastAsia="Arial"/>
                <w:b/>
                <w:color w:val="000000" w:themeColor="text1"/>
                <w:sz w:val="14"/>
                <w:szCs w:val="14"/>
                <w:lang w:eastAsia="en-US"/>
              </w:rPr>
              <w:t>-cation Format</w:t>
            </w:r>
          </w:p>
        </w:tc>
        <w:tc>
          <w:tcPr>
            <w:tcW w:w="102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C81033E"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r w:rsidRPr="003F6B7A">
              <w:rPr>
                <w:rFonts w:eastAsia="Arial"/>
                <w:b/>
                <w:color w:val="000000" w:themeColor="text1"/>
                <w:sz w:val="14"/>
                <w:szCs w:val="14"/>
                <w:lang w:eastAsia="en-US"/>
              </w:rPr>
              <w:t>Time Frame</w:t>
            </w:r>
          </w:p>
        </w:tc>
        <w:tc>
          <w:tcPr>
            <w:tcW w:w="1077"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C6660E7"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r w:rsidRPr="003F6B7A">
              <w:rPr>
                <w:rFonts w:eastAsia="Arial"/>
                <w:b/>
                <w:color w:val="000000" w:themeColor="text1"/>
                <w:sz w:val="14"/>
                <w:szCs w:val="14"/>
                <w:lang w:eastAsia="en-US"/>
              </w:rPr>
              <w:t>Template</w:t>
            </w:r>
          </w:p>
        </w:tc>
        <w:tc>
          <w:tcPr>
            <w:tcW w:w="161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EA04FAA"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r w:rsidRPr="003F6B7A">
              <w:rPr>
                <w:rFonts w:eastAsia="Arial"/>
                <w:b/>
                <w:color w:val="000000" w:themeColor="text1"/>
                <w:sz w:val="14"/>
                <w:szCs w:val="14"/>
                <w:lang w:eastAsia="en-US"/>
              </w:rPr>
              <w:t>External Stakeholders</w:t>
            </w:r>
          </w:p>
        </w:tc>
        <w:tc>
          <w:tcPr>
            <w:tcW w:w="14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71D0D1E"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r w:rsidRPr="003F6B7A">
              <w:rPr>
                <w:rFonts w:eastAsia="Arial"/>
                <w:b/>
                <w:color w:val="000000" w:themeColor="text1"/>
                <w:sz w:val="14"/>
                <w:szCs w:val="14"/>
                <w:lang w:eastAsia="en-US"/>
              </w:rPr>
              <w:t>Internal Stakeholders</w:t>
            </w:r>
          </w:p>
        </w:tc>
        <w:tc>
          <w:tcPr>
            <w:tcW w:w="1274"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08D0227" w14:textId="77777777" w:rsidR="0017525B" w:rsidRPr="003F6B7A" w:rsidRDefault="0017525B" w:rsidP="00CA415A">
            <w:pPr>
              <w:keepNext/>
              <w:keepLines/>
              <w:spacing w:after="200" w:line="276" w:lineRule="auto"/>
              <w:ind w:hanging="115"/>
              <w:jc w:val="center"/>
              <w:rPr>
                <w:rFonts w:eastAsia="Arial"/>
                <w:b/>
                <w:color w:val="000000" w:themeColor="text1"/>
                <w:sz w:val="14"/>
                <w:szCs w:val="14"/>
                <w:lang w:eastAsia="en-US"/>
              </w:rPr>
            </w:pPr>
            <w:r w:rsidRPr="003F6B7A">
              <w:rPr>
                <w:rFonts w:eastAsia="Arial"/>
                <w:b/>
                <w:color w:val="000000" w:themeColor="text1"/>
                <w:sz w:val="14"/>
                <w:szCs w:val="14"/>
                <w:lang w:eastAsia="en-US"/>
              </w:rPr>
              <w:t>Responsible Person</w:t>
            </w:r>
          </w:p>
        </w:tc>
      </w:tr>
      <w:tr w:rsidR="0017525B" w:rsidRPr="003F6B7A" w14:paraId="78D89908" w14:textId="77777777" w:rsidTr="00CA415A">
        <w:trPr>
          <w:cantSplit/>
          <w:trHeight w:val="1077"/>
          <w:jc w:val="center"/>
        </w:trPr>
        <w:tc>
          <w:tcPr>
            <w:tcW w:w="1310" w:type="dxa"/>
            <w:tcBorders>
              <w:top w:val="single" w:sz="6" w:space="0" w:color="auto"/>
            </w:tcBorders>
            <w:shd w:val="clear" w:color="auto" w:fill="FFFFFF"/>
            <w:textDirection w:val="btLr"/>
            <w:vAlign w:val="center"/>
          </w:tcPr>
          <w:p w14:paraId="0E7CFA04" w14:textId="77777777" w:rsidR="0017525B" w:rsidRPr="003F6B7A" w:rsidRDefault="0017525B" w:rsidP="00CA415A">
            <w:pPr>
              <w:keepNext/>
              <w:keepLines/>
              <w:spacing w:after="200" w:line="276" w:lineRule="auto"/>
              <w:ind w:left="113" w:right="113"/>
              <w:jc w:val="center"/>
              <w:rPr>
                <w:rFonts w:eastAsia="Arial"/>
                <w:b/>
                <w:sz w:val="14"/>
                <w:szCs w:val="14"/>
                <w:lang w:eastAsia="en-US"/>
              </w:rPr>
            </w:pPr>
            <w:r w:rsidRPr="003F6B7A">
              <w:rPr>
                <w:rFonts w:eastAsia="Arial"/>
                <w:b/>
                <w:sz w:val="14"/>
                <w:szCs w:val="14"/>
                <w:lang w:eastAsia="en-US"/>
              </w:rPr>
              <w:t>First Aid, or injury / illness Event</w:t>
            </w:r>
          </w:p>
          <w:p w14:paraId="6B90121D" w14:textId="77777777" w:rsidR="0017525B" w:rsidRPr="003F6B7A" w:rsidRDefault="0017525B" w:rsidP="00CA415A">
            <w:pPr>
              <w:keepNext/>
              <w:keepLines/>
              <w:spacing w:after="200" w:line="276" w:lineRule="auto"/>
              <w:ind w:left="113" w:right="113"/>
              <w:jc w:val="center"/>
              <w:rPr>
                <w:rFonts w:eastAsia="Arial"/>
                <w:b/>
                <w:sz w:val="14"/>
                <w:szCs w:val="14"/>
                <w:lang w:eastAsia="en-US"/>
              </w:rPr>
            </w:pPr>
          </w:p>
        </w:tc>
        <w:tc>
          <w:tcPr>
            <w:tcW w:w="877" w:type="dxa"/>
            <w:tcBorders>
              <w:top w:val="single" w:sz="6" w:space="0" w:color="auto"/>
            </w:tcBorders>
            <w:shd w:val="clear" w:color="auto" w:fill="FFFFFF"/>
            <w:tcMar>
              <w:left w:w="28" w:type="dxa"/>
              <w:right w:w="28" w:type="dxa"/>
            </w:tcMar>
            <w:vAlign w:val="center"/>
          </w:tcPr>
          <w:p w14:paraId="1113D840"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Notification</w:t>
            </w:r>
          </w:p>
        </w:tc>
        <w:tc>
          <w:tcPr>
            <w:tcW w:w="944" w:type="dxa"/>
            <w:tcBorders>
              <w:top w:val="single" w:sz="6" w:space="0" w:color="auto"/>
              <w:bottom w:val="single" w:sz="4" w:space="0" w:color="auto"/>
            </w:tcBorders>
            <w:shd w:val="clear" w:color="auto" w:fill="FFFFFF"/>
            <w:vAlign w:val="center"/>
          </w:tcPr>
          <w:p w14:paraId="415BD083"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Entered in the monthly summary</w:t>
            </w:r>
          </w:p>
        </w:tc>
        <w:tc>
          <w:tcPr>
            <w:tcW w:w="1020" w:type="dxa"/>
            <w:tcBorders>
              <w:top w:val="single" w:sz="6" w:space="0" w:color="auto"/>
              <w:bottom w:val="single" w:sz="4" w:space="0" w:color="auto"/>
            </w:tcBorders>
            <w:shd w:val="clear" w:color="auto" w:fill="FFFFFF"/>
            <w:vAlign w:val="center"/>
          </w:tcPr>
          <w:p w14:paraId="7A5B1371"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sz w:val="14"/>
                <w:szCs w:val="14"/>
                <w:lang w:eastAsia="en-US"/>
              </w:rPr>
              <w:t>30 Days</w:t>
            </w:r>
          </w:p>
        </w:tc>
        <w:tc>
          <w:tcPr>
            <w:tcW w:w="1077" w:type="dxa"/>
            <w:tcBorders>
              <w:top w:val="single" w:sz="6" w:space="0" w:color="auto"/>
              <w:bottom w:val="single" w:sz="4" w:space="0" w:color="auto"/>
            </w:tcBorders>
            <w:shd w:val="clear" w:color="auto" w:fill="FFFFFF"/>
            <w:vAlign w:val="center"/>
          </w:tcPr>
          <w:p w14:paraId="1305DECC" w14:textId="77777777" w:rsidR="0017525B" w:rsidRPr="003F6B7A" w:rsidRDefault="00A40D0B" w:rsidP="00CA415A">
            <w:pPr>
              <w:keepNext/>
              <w:keepLines/>
              <w:spacing w:after="200" w:line="276" w:lineRule="auto"/>
              <w:jc w:val="center"/>
              <w:rPr>
                <w:rFonts w:eastAsia="Arial"/>
                <w:sz w:val="14"/>
                <w:szCs w:val="14"/>
                <w:lang w:eastAsia="en-US"/>
              </w:rPr>
            </w:pPr>
            <w:hyperlink r:id="rId14" w:history="1">
              <w:r w:rsidR="0017525B" w:rsidRPr="003F6B7A">
                <w:rPr>
                  <w:rFonts w:eastAsia="Arial"/>
                  <w:sz w:val="14"/>
                  <w:szCs w:val="14"/>
                  <w:lang w:eastAsia="en-US"/>
                </w:rPr>
                <w:t>Online Monthly Incident Summary Form</w:t>
              </w:r>
            </w:hyperlink>
          </w:p>
        </w:tc>
        <w:tc>
          <w:tcPr>
            <w:tcW w:w="1610" w:type="dxa"/>
            <w:tcBorders>
              <w:top w:val="single" w:sz="6" w:space="0" w:color="auto"/>
              <w:bottom w:val="single" w:sz="4" w:space="0" w:color="auto"/>
            </w:tcBorders>
            <w:shd w:val="clear" w:color="auto" w:fill="FFFFFF"/>
            <w:vAlign w:val="center"/>
          </w:tcPr>
          <w:p w14:paraId="6340FE9D" w14:textId="77777777" w:rsidR="0017525B" w:rsidRPr="003F6B7A" w:rsidRDefault="0017525B" w:rsidP="00CA415A">
            <w:pPr>
              <w:keepNext/>
              <w:keepLines/>
              <w:spacing w:after="200" w:line="276" w:lineRule="auto"/>
              <w:ind w:left="-50"/>
              <w:jc w:val="left"/>
              <w:rPr>
                <w:rFonts w:eastAsia="Arial"/>
                <w:sz w:val="14"/>
                <w:szCs w:val="14"/>
                <w:lang w:eastAsia="en-US"/>
              </w:rPr>
            </w:pPr>
            <w:r w:rsidRPr="003F6B7A">
              <w:rPr>
                <w:rFonts w:eastAsia="Arial"/>
                <w:sz w:val="14"/>
                <w:szCs w:val="14"/>
                <w:lang w:eastAsia="en-US"/>
              </w:rPr>
              <w:t>Mines Inspectorate</w:t>
            </w:r>
          </w:p>
        </w:tc>
        <w:tc>
          <w:tcPr>
            <w:tcW w:w="1418" w:type="dxa"/>
            <w:tcBorders>
              <w:top w:val="single" w:sz="6" w:space="0" w:color="auto"/>
              <w:bottom w:val="single" w:sz="4" w:space="0" w:color="auto"/>
            </w:tcBorders>
            <w:shd w:val="clear" w:color="auto" w:fill="FFFFFF"/>
            <w:vAlign w:val="center"/>
          </w:tcPr>
          <w:p w14:paraId="4F74CA51"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 xml:space="preserve">Health and Safety </w:t>
            </w:r>
          </w:p>
        </w:tc>
        <w:tc>
          <w:tcPr>
            <w:tcW w:w="1274" w:type="dxa"/>
            <w:tcBorders>
              <w:top w:val="single" w:sz="6" w:space="0" w:color="auto"/>
              <w:bottom w:val="single" w:sz="4" w:space="0" w:color="auto"/>
            </w:tcBorders>
            <w:shd w:val="clear" w:color="auto" w:fill="FFFFFF"/>
            <w:vAlign w:val="center"/>
          </w:tcPr>
          <w:p w14:paraId="4E8253E0"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7FFD2BB2" w14:textId="77777777" w:rsidTr="00CA415A">
        <w:trPr>
          <w:trHeight w:val="195"/>
          <w:jc w:val="center"/>
        </w:trPr>
        <w:tc>
          <w:tcPr>
            <w:tcW w:w="1310" w:type="dxa"/>
            <w:vMerge w:val="restart"/>
            <w:shd w:val="clear" w:color="auto" w:fill="FFFFFF"/>
            <w:textDirection w:val="btLr"/>
            <w:vAlign w:val="center"/>
          </w:tcPr>
          <w:p w14:paraId="2873ADE3" w14:textId="77777777" w:rsidR="0017525B" w:rsidRPr="003F6B7A" w:rsidRDefault="0017525B" w:rsidP="00CA415A">
            <w:pPr>
              <w:keepNext/>
              <w:keepLines/>
              <w:spacing w:after="200" w:line="276" w:lineRule="auto"/>
              <w:ind w:left="113" w:right="113"/>
              <w:jc w:val="center"/>
              <w:rPr>
                <w:rFonts w:eastAsia="Arial"/>
                <w:b/>
                <w:sz w:val="14"/>
                <w:szCs w:val="14"/>
                <w:lang w:eastAsia="en-US"/>
              </w:rPr>
            </w:pPr>
            <w:r w:rsidRPr="003F6B7A">
              <w:rPr>
                <w:rFonts w:eastAsia="Arial"/>
                <w:b/>
                <w:sz w:val="14"/>
                <w:szCs w:val="14"/>
                <w:lang w:eastAsia="en-US"/>
              </w:rPr>
              <w:t>Notifiable Incident Serious Accident, Hig</w:t>
            </w:r>
            <w:r>
              <w:rPr>
                <w:rFonts w:eastAsia="Arial"/>
                <w:b/>
                <w:sz w:val="14"/>
                <w:szCs w:val="14"/>
                <w:lang w:eastAsia="en-US"/>
              </w:rPr>
              <w:t xml:space="preserve">h. </w:t>
            </w:r>
          </w:p>
        </w:tc>
        <w:tc>
          <w:tcPr>
            <w:tcW w:w="877" w:type="dxa"/>
            <w:vMerge w:val="restart"/>
            <w:shd w:val="clear" w:color="auto" w:fill="FFFFFF"/>
            <w:tcMar>
              <w:left w:w="28" w:type="dxa"/>
              <w:right w:w="28" w:type="dxa"/>
            </w:tcMar>
            <w:vAlign w:val="center"/>
          </w:tcPr>
          <w:p w14:paraId="78E2992E"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Notification</w:t>
            </w:r>
          </w:p>
        </w:tc>
        <w:tc>
          <w:tcPr>
            <w:tcW w:w="944" w:type="dxa"/>
            <w:tcBorders>
              <w:bottom w:val="single" w:sz="4" w:space="0" w:color="auto"/>
            </w:tcBorders>
            <w:shd w:val="clear" w:color="auto" w:fill="FFFFFF"/>
            <w:vAlign w:val="center"/>
          </w:tcPr>
          <w:p w14:paraId="281B7100"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Verbal</w:t>
            </w:r>
            <w:r w:rsidRPr="003F6B7A">
              <w:rPr>
                <w:rFonts w:eastAsia="Arial"/>
                <w:sz w:val="14"/>
                <w:szCs w:val="14"/>
                <w:vertAlign w:val="superscript"/>
                <w:lang w:eastAsia="en-US"/>
              </w:rPr>
              <w:t>#2</w:t>
            </w:r>
          </w:p>
        </w:tc>
        <w:tc>
          <w:tcPr>
            <w:tcW w:w="1020" w:type="dxa"/>
            <w:tcBorders>
              <w:bottom w:val="single" w:sz="4" w:space="0" w:color="auto"/>
            </w:tcBorders>
            <w:shd w:val="clear" w:color="auto" w:fill="FFFFFF"/>
            <w:vAlign w:val="center"/>
          </w:tcPr>
          <w:p w14:paraId="3FCAC712"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sz w:val="14"/>
                <w:szCs w:val="14"/>
                <w:lang w:eastAsia="en-US"/>
              </w:rPr>
              <w:t>As soon as practicable</w:t>
            </w:r>
          </w:p>
        </w:tc>
        <w:tc>
          <w:tcPr>
            <w:tcW w:w="1077" w:type="dxa"/>
            <w:tcBorders>
              <w:bottom w:val="single" w:sz="4" w:space="0" w:color="auto"/>
            </w:tcBorders>
            <w:shd w:val="clear" w:color="auto" w:fill="FFFFFF"/>
            <w:vAlign w:val="center"/>
          </w:tcPr>
          <w:p w14:paraId="6143CE9C"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i/>
                <w:sz w:val="14"/>
                <w:szCs w:val="14"/>
                <w:lang w:eastAsia="en-US"/>
              </w:rPr>
              <w:t>Form 1A</w:t>
            </w:r>
            <w:r w:rsidRPr="003F6B7A">
              <w:rPr>
                <w:rFonts w:eastAsia="Arial"/>
                <w:sz w:val="14"/>
                <w:szCs w:val="14"/>
                <w:lang w:eastAsia="en-US"/>
              </w:rPr>
              <w:t xml:space="preserve"> #2</w:t>
            </w:r>
          </w:p>
        </w:tc>
        <w:tc>
          <w:tcPr>
            <w:tcW w:w="1610" w:type="dxa"/>
            <w:tcBorders>
              <w:bottom w:val="single" w:sz="4" w:space="0" w:color="auto"/>
            </w:tcBorders>
            <w:shd w:val="clear" w:color="auto" w:fill="FFFFFF"/>
            <w:vAlign w:val="center"/>
          </w:tcPr>
          <w:p w14:paraId="015A250C"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Mines Inspectorate</w:t>
            </w:r>
          </w:p>
          <w:p w14:paraId="7A4BDFD3"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 xml:space="preserve">Industry Health </w:t>
            </w:r>
            <w:r>
              <w:rPr>
                <w:rFonts w:cs="Arial"/>
                <w:sz w:val="14"/>
                <w:szCs w:val="14"/>
                <w:lang w:eastAsia="en-US"/>
              </w:rPr>
              <w:t>and</w:t>
            </w:r>
            <w:r w:rsidRPr="003F6B7A">
              <w:rPr>
                <w:rFonts w:cs="Arial"/>
                <w:sz w:val="14"/>
                <w:szCs w:val="14"/>
                <w:lang w:eastAsia="en-US"/>
              </w:rPr>
              <w:t xml:space="preserve"> Safety Representative</w:t>
            </w:r>
          </w:p>
          <w:p w14:paraId="4BD690C6"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Site Safety Health Representatives</w:t>
            </w:r>
          </w:p>
        </w:tc>
        <w:tc>
          <w:tcPr>
            <w:tcW w:w="1418" w:type="dxa"/>
            <w:tcBorders>
              <w:bottom w:val="single" w:sz="4" w:space="0" w:color="auto"/>
            </w:tcBorders>
            <w:shd w:val="clear" w:color="auto" w:fill="FFFFFF"/>
            <w:vAlign w:val="center"/>
          </w:tcPr>
          <w:p w14:paraId="017CC956"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Not Required</w:t>
            </w:r>
          </w:p>
        </w:tc>
        <w:tc>
          <w:tcPr>
            <w:tcW w:w="1274" w:type="dxa"/>
            <w:tcBorders>
              <w:bottom w:val="single" w:sz="4" w:space="0" w:color="auto"/>
            </w:tcBorders>
            <w:shd w:val="clear" w:color="auto" w:fill="FFFFFF"/>
            <w:vAlign w:val="center"/>
          </w:tcPr>
          <w:p w14:paraId="2B448DB5"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199D4D53" w14:textId="77777777" w:rsidTr="00CA415A">
        <w:trPr>
          <w:trHeight w:val="390"/>
          <w:jc w:val="center"/>
        </w:trPr>
        <w:tc>
          <w:tcPr>
            <w:tcW w:w="1310" w:type="dxa"/>
            <w:vMerge/>
            <w:shd w:val="clear" w:color="auto" w:fill="FFFFFF"/>
            <w:textDirection w:val="btLr"/>
            <w:vAlign w:val="center"/>
          </w:tcPr>
          <w:p w14:paraId="2E825A4B" w14:textId="77777777" w:rsidR="0017525B" w:rsidRPr="003F6B7A" w:rsidRDefault="0017525B" w:rsidP="00CA415A">
            <w:pPr>
              <w:keepNext/>
              <w:keepLines/>
              <w:spacing w:after="200" w:line="276" w:lineRule="auto"/>
              <w:ind w:left="113" w:right="113"/>
              <w:jc w:val="center"/>
              <w:rPr>
                <w:rFonts w:eastAsia="Arial"/>
                <w:b/>
                <w:sz w:val="14"/>
                <w:szCs w:val="14"/>
                <w:lang w:eastAsia="en-US"/>
              </w:rPr>
            </w:pPr>
          </w:p>
        </w:tc>
        <w:tc>
          <w:tcPr>
            <w:tcW w:w="877" w:type="dxa"/>
            <w:vMerge/>
            <w:tcBorders>
              <w:bottom w:val="single" w:sz="4" w:space="0" w:color="auto"/>
            </w:tcBorders>
            <w:shd w:val="clear" w:color="auto" w:fill="FFFFFF"/>
            <w:vAlign w:val="center"/>
          </w:tcPr>
          <w:p w14:paraId="59CEAC76"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p>
        </w:tc>
        <w:tc>
          <w:tcPr>
            <w:tcW w:w="944" w:type="dxa"/>
            <w:tcBorders>
              <w:top w:val="single" w:sz="4" w:space="0" w:color="auto"/>
              <w:bottom w:val="single" w:sz="4" w:space="0" w:color="auto"/>
            </w:tcBorders>
            <w:shd w:val="clear" w:color="auto" w:fill="FFFFFF"/>
            <w:vAlign w:val="center"/>
          </w:tcPr>
          <w:p w14:paraId="68BB1410"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Written</w:t>
            </w:r>
          </w:p>
        </w:tc>
        <w:tc>
          <w:tcPr>
            <w:tcW w:w="1020" w:type="dxa"/>
            <w:tcBorders>
              <w:top w:val="single" w:sz="4" w:space="0" w:color="auto"/>
              <w:bottom w:val="single" w:sz="4" w:space="0" w:color="auto"/>
            </w:tcBorders>
            <w:shd w:val="clear" w:color="auto" w:fill="FFFFFF"/>
            <w:vAlign w:val="center"/>
          </w:tcPr>
          <w:p w14:paraId="6BFDAAE9"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sz w:val="14"/>
                <w:szCs w:val="14"/>
                <w:lang w:eastAsia="en-US"/>
              </w:rPr>
              <w:t>48 hours (24 hrs for a fatality)</w:t>
            </w:r>
          </w:p>
        </w:tc>
        <w:tc>
          <w:tcPr>
            <w:tcW w:w="1077" w:type="dxa"/>
            <w:tcBorders>
              <w:top w:val="single" w:sz="4" w:space="0" w:color="auto"/>
              <w:bottom w:val="single" w:sz="4" w:space="0" w:color="auto"/>
            </w:tcBorders>
            <w:shd w:val="clear" w:color="auto" w:fill="FFFFFF"/>
            <w:vAlign w:val="center"/>
          </w:tcPr>
          <w:p w14:paraId="7D92AB92"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i/>
                <w:sz w:val="14"/>
                <w:szCs w:val="14"/>
                <w:lang w:eastAsia="en-US"/>
              </w:rPr>
              <w:t>Form 1A</w:t>
            </w:r>
            <w:r w:rsidRPr="003F6B7A">
              <w:rPr>
                <w:rFonts w:eastAsia="Arial"/>
                <w:sz w:val="14"/>
                <w:szCs w:val="14"/>
                <w:lang w:eastAsia="en-US"/>
              </w:rPr>
              <w:t xml:space="preserve"> #2</w:t>
            </w:r>
          </w:p>
        </w:tc>
        <w:tc>
          <w:tcPr>
            <w:tcW w:w="1610" w:type="dxa"/>
            <w:tcBorders>
              <w:top w:val="single" w:sz="4" w:space="0" w:color="auto"/>
              <w:bottom w:val="single" w:sz="4" w:space="0" w:color="auto"/>
            </w:tcBorders>
            <w:shd w:val="clear" w:color="auto" w:fill="FFFFFF"/>
            <w:vAlign w:val="center"/>
          </w:tcPr>
          <w:p w14:paraId="7ECCF4D9"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Mines Inspectorate</w:t>
            </w:r>
          </w:p>
          <w:p w14:paraId="17DA2FEE" w14:textId="77777777" w:rsidR="0017525B" w:rsidRPr="003F6B7A" w:rsidRDefault="0017525B" w:rsidP="004279CE">
            <w:pPr>
              <w:keepNext/>
              <w:keepLines/>
              <w:numPr>
                <w:ilvl w:val="0"/>
                <w:numId w:val="9"/>
              </w:numPr>
              <w:spacing w:after="200" w:line="276" w:lineRule="auto"/>
              <w:ind w:left="110" w:hanging="160"/>
              <w:contextualSpacing/>
              <w:jc w:val="left"/>
              <w:rPr>
                <w:rFonts w:cs="Arial"/>
                <w:color w:val="000000"/>
                <w:sz w:val="14"/>
                <w:szCs w:val="14"/>
                <w:lang w:eastAsia="en-US"/>
              </w:rPr>
            </w:pPr>
            <w:r w:rsidRPr="003F6B7A">
              <w:rPr>
                <w:rFonts w:cs="Arial"/>
                <w:sz w:val="14"/>
                <w:szCs w:val="14"/>
                <w:lang w:eastAsia="en-US"/>
              </w:rPr>
              <w:t>Industry Health</w:t>
            </w:r>
            <w:r>
              <w:rPr>
                <w:rFonts w:cs="Arial"/>
                <w:sz w:val="14"/>
                <w:szCs w:val="14"/>
                <w:lang w:eastAsia="en-US"/>
              </w:rPr>
              <w:t xml:space="preserve"> and</w:t>
            </w:r>
            <w:r w:rsidRPr="003F6B7A">
              <w:rPr>
                <w:rFonts w:cs="Arial"/>
                <w:sz w:val="14"/>
                <w:szCs w:val="14"/>
                <w:lang w:eastAsia="en-US"/>
              </w:rPr>
              <w:t xml:space="preserve"> Safety Representative</w:t>
            </w:r>
          </w:p>
        </w:tc>
        <w:tc>
          <w:tcPr>
            <w:tcW w:w="1418" w:type="dxa"/>
            <w:tcBorders>
              <w:top w:val="single" w:sz="4" w:space="0" w:color="auto"/>
              <w:bottom w:val="single" w:sz="4" w:space="0" w:color="auto"/>
            </w:tcBorders>
            <w:shd w:val="clear" w:color="auto" w:fill="FFFFFF"/>
            <w:vAlign w:val="center"/>
          </w:tcPr>
          <w:p w14:paraId="286D841F"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Mine Workers (via Mine Record) / Health and Safety / SSE</w:t>
            </w:r>
          </w:p>
        </w:tc>
        <w:tc>
          <w:tcPr>
            <w:tcW w:w="1274" w:type="dxa"/>
            <w:tcBorders>
              <w:top w:val="single" w:sz="4" w:space="0" w:color="auto"/>
              <w:bottom w:val="single" w:sz="4" w:space="0" w:color="auto"/>
            </w:tcBorders>
            <w:shd w:val="clear" w:color="auto" w:fill="FFFFFF"/>
            <w:vAlign w:val="center"/>
          </w:tcPr>
          <w:p w14:paraId="0C7257C1"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24104743" w14:textId="77777777" w:rsidTr="00CA415A">
        <w:trPr>
          <w:trHeight w:val="447"/>
          <w:jc w:val="center"/>
        </w:trPr>
        <w:tc>
          <w:tcPr>
            <w:tcW w:w="1310" w:type="dxa"/>
            <w:vMerge/>
            <w:shd w:val="clear" w:color="auto" w:fill="FFFFFF"/>
            <w:textDirection w:val="btLr"/>
            <w:vAlign w:val="center"/>
          </w:tcPr>
          <w:p w14:paraId="42AC2432" w14:textId="77777777" w:rsidR="0017525B" w:rsidRPr="003F6B7A" w:rsidRDefault="0017525B" w:rsidP="00CA415A">
            <w:pPr>
              <w:keepNext/>
              <w:keepLines/>
              <w:spacing w:after="200" w:line="276" w:lineRule="auto"/>
              <w:ind w:left="113" w:right="113"/>
              <w:jc w:val="center"/>
              <w:rPr>
                <w:rFonts w:eastAsia="Arial"/>
                <w:b/>
                <w:sz w:val="14"/>
                <w:szCs w:val="14"/>
                <w:lang w:eastAsia="en-US"/>
              </w:rPr>
            </w:pPr>
          </w:p>
        </w:tc>
        <w:tc>
          <w:tcPr>
            <w:tcW w:w="877" w:type="dxa"/>
            <w:tcBorders>
              <w:top w:val="single" w:sz="4" w:space="0" w:color="auto"/>
            </w:tcBorders>
            <w:shd w:val="clear" w:color="auto" w:fill="FFFFFF"/>
            <w:vAlign w:val="center"/>
          </w:tcPr>
          <w:p w14:paraId="60F57119"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Report</w:t>
            </w:r>
          </w:p>
        </w:tc>
        <w:tc>
          <w:tcPr>
            <w:tcW w:w="944" w:type="dxa"/>
            <w:tcBorders>
              <w:top w:val="single" w:sz="4" w:space="0" w:color="auto"/>
            </w:tcBorders>
            <w:shd w:val="clear" w:color="auto" w:fill="FFFFFF"/>
            <w:vAlign w:val="center"/>
          </w:tcPr>
          <w:p w14:paraId="4300AB3E"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 xml:space="preserve">Written (When </w:t>
            </w:r>
            <w:r>
              <w:rPr>
                <w:rFonts w:eastAsia="Arial"/>
                <w:sz w:val="14"/>
                <w:szCs w:val="14"/>
                <w:lang w:eastAsia="en-US"/>
              </w:rPr>
              <w:t>required as per legislation</w:t>
            </w:r>
          </w:p>
        </w:tc>
        <w:tc>
          <w:tcPr>
            <w:tcW w:w="1020" w:type="dxa"/>
            <w:tcBorders>
              <w:top w:val="single" w:sz="4" w:space="0" w:color="auto"/>
            </w:tcBorders>
            <w:shd w:val="clear" w:color="auto" w:fill="FFFFFF"/>
            <w:vAlign w:val="center"/>
          </w:tcPr>
          <w:p w14:paraId="0BB6373A" w14:textId="77777777" w:rsidR="0017525B" w:rsidRPr="003F6B7A" w:rsidRDefault="0017525B" w:rsidP="00CA415A">
            <w:pPr>
              <w:keepNext/>
              <w:keepLines/>
              <w:spacing w:after="200" w:line="276" w:lineRule="auto"/>
              <w:jc w:val="center"/>
              <w:rPr>
                <w:rFonts w:eastAsia="Arial"/>
                <w:sz w:val="14"/>
                <w:szCs w:val="14"/>
                <w:lang w:eastAsia="en-US"/>
              </w:rPr>
            </w:pPr>
            <w:r w:rsidRPr="003F6B7A">
              <w:rPr>
                <w:rFonts w:eastAsia="Arial"/>
                <w:sz w:val="14"/>
                <w:szCs w:val="14"/>
                <w:lang w:eastAsia="en-US"/>
              </w:rPr>
              <w:t>30 Days</w:t>
            </w:r>
          </w:p>
        </w:tc>
        <w:tc>
          <w:tcPr>
            <w:tcW w:w="1077" w:type="dxa"/>
            <w:tcBorders>
              <w:top w:val="single" w:sz="4" w:space="0" w:color="auto"/>
            </w:tcBorders>
            <w:shd w:val="clear" w:color="auto" w:fill="FFFFFF"/>
            <w:vAlign w:val="center"/>
          </w:tcPr>
          <w:p w14:paraId="68716D68" w14:textId="77777777" w:rsidR="0017525B" w:rsidRPr="003F6B7A" w:rsidRDefault="00A40D0B" w:rsidP="00CA415A">
            <w:pPr>
              <w:keepNext/>
              <w:keepLines/>
              <w:spacing w:after="200" w:line="276" w:lineRule="auto"/>
              <w:jc w:val="center"/>
              <w:rPr>
                <w:rFonts w:eastAsia="Arial"/>
                <w:sz w:val="14"/>
                <w:szCs w:val="14"/>
                <w:lang w:eastAsia="en-US"/>
              </w:rPr>
            </w:pPr>
            <w:hyperlink r:id="rId15" w:history="1">
              <w:r w:rsidR="0017525B" w:rsidRPr="003F6B7A">
                <w:rPr>
                  <w:rFonts w:eastAsia="Arial"/>
                  <w:sz w:val="14"/>
                  <w:szCs w:val="14"/>
                  <w:lang w:eastAsia="en-US"/>
                </w:rPr>
                <w:t>Online Form 5A</w:t>
              </w:r>
            </w:hyperlink>
          </w:p>
        </w:tc>
        <w:tc>
          <w:tcPr>
            <w:tcW w:w="1610" w:type="dxa"/>
            <w:tcBorders>
              <w:top w:val="single" w:sz="4" w:space="0" w:color="auto"/>
            </w:tcBorders>
            <w:shd w:val="clear" w:color="auto" w:fill="FFFFFF"/>
            <w:vAlign w:val="center"/>
          </w:tcPr>
          <w:p w14:paraId="627F179B" w14:textId="77777777" w:rsidR="0017525B" w:rsidRPr="003F6B7A" w:rsidRDefault="0017525B" w:rsidP="00CA415A">
            <w:pPr>
              <w:keepNext/>
              <w:keepLines/>
              <w:spacing w:after="200" w:line="276" w:lineRule="auto"/>
              <w:ind w:left="29"/>
              <w:jc w:val="left"/>
              <w:rPr>
                <w:rFonts w:eastAsia="Arial"/>
                <w:sz w:val="14"/>
                <w:szCs w:val="14"/>
                <w:lang w:eastAsia="en-US"/>
              </w:rPr>
            </w:pPr>
            <w:r w:rsidRPr="003F6B7A">
              <w:rPr>
                <w:rFonts w:eastAsia="Arial"/>
                <w:sz w:val="14"/>
                <w:szCs w:val="14"/>
                <w:lang w:eastAsia="en-US"/>
              </w:rPr>
              <w:t>Mines Inspectorate</w:t>
            </w:r>
          </w:p>
        </w:tc>
        <w:tc>
          <w:tcPr>
            <w:tcW w:w="1418" w:type="dxa"/>
            <w:tcBorders>
              <w:top w:val="single" w:sz="4" w:space="0" w:color="auto"/>
            </w:tcBorders>
            <w:shd w:val="clear" w:color="auto" w:fill="FFFFFF"/>
            <w:vAlign w:val="center"/>
          </w:tcPr>
          <w:p w14:paraId="40B97392"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Mine Workers (via Mine Record) / Health and Safety / SSE</w:t>
            </w:r>
          </w:p>
        </w:tc>
        <w:tc>
          <w:tcPr>
            <w:tcW w:w="1274" w:type="dxa"/>
            <w:tcBorders>
              <w:top w:val="single" w:sz="4" w:space="0" w:color="auto"/>
            </w:tcBorders>
            <w:shd w:val="clear" w:color="auto" w:fill="FFFFFF"/>
            <w:vAlign w:val="center"/>
          </w:tcPr>
          <w:p w14:paraId="25936ED9" w14:textId="77777777" w:rsidR="0017525B" w:rsidRPr="003F6B7A" w:rsidRDefault="0017525B" w:rsidP="00CA415A">
            <w:pPr>
              <w:keepNext/>
              <w:keepLines/>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64987AFA" w14:textId="77777777" w:rsidTr="00CA415A">
        <w:trPr>
          <w:cantSplit/>
          <w:trHeight w:val="1134"/>
          <w:jc w:val="center"/>
        </w:trPr>
        <w:tc>
          <w:tcPr>
            <w:tcW w:w="1310" w:type="dxa"/>
            <w:vMerge w:val="restart"/>
            <w:shd w:val="clear" w:color="auto" w:fill="FFFFFF"/>
            <w:textDirection w:val="btLr"/>
            <w:vAlign w:val="center"/>
          </w:tcPr>
          <w:p w14:paraId="1F8A934F" w14:textId="77777777" w:rsidR="0017525B" w:rsidRPr="003F6B7A" w:rsidRDefault="0017525B" w:rsidP="00CA415A">
            <w:pPr>
              <w:spacing w:after="200" w:line="276" w:lineRule="auto"/>
              <w:ind w:left="113" w:right="113"/>
              <w:jc w:val="center"/>
              <w:rPr>
                <w:rFonts w:eastAsia="Arial"/>
                <w:b/>
                <w:sz w:val="14"/>
                <w:szCs w:val="14"/>
                <w:lang w:eastAsia="en-US"/>
              </w:rPr>
            </w:pPr>
            <w:r w:rsidRPr="003F6B7A">
              <w:rPr>
                <w:rFonts w:eastAsia="Arial"/>
                <w:b/>
                <w:sz w:val="14"/>
                <w:szCs w:val="14"/>
                <w:lang w:eastAsia="en-US"/>
              </w:rPr>
              <w:t>Notifiable</w:t>
            </w:r>
            <w:r>
              <w:rPr>
                <w:rFonts w:eastAsia="Arial"/>
                <w:b/>
                <w:sz w:val="14"/>
                <w:szCs w:val="14"/>
                <w:lang w:eastAsia="en-US"/>
              </w:rPr>
              <w:t xml:space="preserve"> Dust Exceedance </w:t>
            </w:r>
          </w:p>
        </w:tc>
        <w:tc>
          <w:tcPr>
            <w:tcW w:w="877" w:type="dxa"/>
            <w:vMerge w:val="restart"/>
            <w:shd w:val="clear" w:color="auto" w:fill="FFFFFF"/>
            <w:tcMar>
              <w:left w:w="28" w:type="dxa"/>
              <w:right w:w="28" w:type="dxa"/>
            </w:tcMar>
            <w:vAlign w:val="center"/>
          </w:tcPr>
          <w:p w14:paraId="2241F97E"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Notification</w:t>
            </w:r>
          </w:p>
        </w:tc>
        <w:tc>
          <w:tcPr>
            <w:tcW w:w="944" w:type="dxa"/>
            <w:tcBorders>
              <w:bottom w:val="single" w:sz="4" w:space="0" w:color="auto"/>
            </w:tcBorders>
            <w:shd w:val="clear" w:color="auto" w:fill="FFFFFF"/>
            <w:vAlign w:val="center"/>
          </w:tcPr>
          <w:p w14:paraId="580D2EAA" w14:textId="77777777" w:rsidR="0017525B" w:rsidRPr="003F6B7A" w:rsidRDefault="0017525B" w:rsidP="00CA415A">
            <w:pPr>
              <w:spacing w:after="200" w:line="276" w:lineRule="auto"/>
              <w:jc w:val="left"/>
              <w:rPr>
                <w:rFonts w:eastAsia="Arial"/>
                <w:sz w:val="14"/>
                <w:szCs w:val="14"/>
                <w:lang w:eastAsia="en-US"/>
              </w:rPr>
            </w:pPr>
            <w:r>
              <w:rPr>
                <w:rFonts w:eastAsia="Arial"/>
                <w:sz w:val="14"/>
                <w:szCs w:val="14"/>
                <w:lang w:eastAsia="en-US"/>
              </w:rPr>
              <w:t>Verbal</w:t>
            </w:r>
          </w:p>
        </w:tc>
        <w:tc>
          <w:tcPr>
            <w:tcW w:w="1020" w:type="dxa"/>
            <w:tcBorders>
              <w:bottom w:val="single" w:sz="4" w:space="0" w:color="auto"/>
            </w:tcBorders>
            <w:shd w:val="clear" w:color="auto" w:fill="FFFFFF"/>
            <w:vAlign w:val="center"/>
          </w:tcPr>
          <w:p w14:paraId="0CC40C13" w14:textId="77777777" w:rsidR="0017525B" w:rsidRPr="003F6B7A" w:rsidRDefault="0017525B" w:rsidP="00CA415A">
            <w:pPr>
              <w:spacing w:after="200" w:line="276" w:lineRule="auto"/>
              <w:jc w:val="center"/>
              <w:rPr>
                <w:rFonts w:eastAsia="Arial"/>
                <w:sz w:val="14"/>
                <w:szCs w:val="14"/>
                <w:lang w:eastAsia="en-US"/>
              </w:rPr>
            </w:pPr>
            <w:r>
              <w:rPr>
                <w:rFonts w:eastAsia="Arial"/>
                <w:sz w:val="14"/>
                <w:szCs w:val="14"/>
                <w:lang w:eastAsia="en-US"/>
              </w:rPr>
              <w:t>24 hours</w:t>
            </w:r>
          </w:p>
        </w:tc>
        <w:tc>
          <w:tcPr>
            <w:tcW w:w="1077" w:type="dxa"/>
            <w:tcBorders>
              <w:bottom w:val="single" w:sz="4" w:space="0" w:color="auto"/>
            </w:tcBorders>
            <w:shd w:val="clear" w:color="auto" w:fill="FFFFFF"/>
            <w:vAlign w:val="center"/>
          </w:tcPr>
          <w:p w14:paraId="580FDFFC" w14:textId="77777777" w:rsidR="0017525B" w:rsidRPr="003F6B7A" w:rsidRDefault="0017525B" w:rsidP="00CA415A">
            <w:pPr>
              <w:spacing w:after="200" w:line="276" w:lineRule="auto"/>
              <w:jc w:val="center"/>
              <w:rPr>
                <w:rFonts w:eastAsia="Arial"/>
                <w:sz w:val="14"/>
                <w:szCs w:val="14"/>
                <w:lang w:eastAsia="en-US"/>
              </w:rPr>
            </w:pPr>
          </w:p>
        </w:tc>
        <w:tc>
          <w:tcPr>
            <w:tcW w:w="1610" w:type="dxa"/>
            <w:tcBorders>
              <w:bottom w:val="single" w:sz="4" w:space="0" w:color="auto"/>
            </w:tcBorders>
            <w:shd w:val="clear" w:color="auto" w:fill="FFFFFF"/>
            <w:vAlign w:val="center"/>
          </w:tcPr>
          <w:p w14:paraId="7410B164"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Mines Inspectorate</w:t>
            </w:r>
          </w:p>
          <w:p w14:paraId="3F724A48"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 xml:space="preserve">Industry Health </w:t>
            </w:r>
            <w:r>
              <w:rPr>
                <w:rFonts w:cs="Arial"/>
                <w:sz w:val="14"/>
                <w:szCs w:val="14"/>
                <w:lang w:eastAsia="en-US"/>
              </w:rPr>
              <w:t>and</w:t>
            </w:r>
            <w:r w:rsidRPr="003F6B7A">
              <w:rPr>
                <w:rFonts w:cs="Arial"/>
                <w:sz w:val="14"/>
                <w:szCs w:val="14"/>
                <w:lang w:eastAsia="en-US"/>
              </w:rPr>
              <w:t xml:space="preserve"> Safety Representative</w:t>
            </w:r>
          </w:p>
          <w:p w14:paraId="1E9876DD" w14:textId="77777777" w:rsidR="0017525B" w:rsidRPr="003F6B7A" w:rsidRDefault="0017525B" w:rsidP="00CA415A">
            <w:pPr>
              <w:keepNext/>
              <w:keepLines/>
              <w:spacing w:after="200" w:line="276" w:lineRule="auto"/>
              <w:contextualSpacing/>
              <w:jc w:val="left"/>
              <w:rPr>
                <w:rFonts w:cs="Arial"/>
                <w:sz w:val="14"/>
                <w:szCs w:val="14"/>
                <w:lang w:eastAsia="en-US"/>
              </w:rPr>
            </w:pPr>
          </w:p>
        </w:tc>
        <w:tc>
          <w:tcPr>
            <w:tcW w:w="1418" w:type="dxa"/>
            <w:tcBorders>
              <w:bottom w:val="single" w:sz="4" w:space="0" w:color="auto"/>
            </w:tcBorders>
            <w:shd w:val="clear" w:color="auto" w:fill="FFFFFF"/>
            <w:vAlign w:val="center"/>
          </w:tcPr>
          <w:p w14:paraId="5A14B36E" w14:textId="77777777" w:rsidR="0017525B" w:rsidRDefault="0017525B" w:rsidP="00CA415A">
            <w:pPr>
              <w:spacing w:after="60" w:line="276" w:lineRule="auto"/>
              <w:jc w:val="left"/>
              <w:rPr>
                <w:rFonts w:cs="Arial"/>
                <w:sz w:val="14"/>
                <w:szCs w:val="14"/>
                <w:lang w:eastAsia="en-US"/>
              </w:rPr>
            </w:pPr>
            <w:r w:rsidRPr="003F6B7A">
              <w:rPr>
                <w:rFonts w:cs="Arial"/>
                <w:sz w:val="14"/>
                <w:szCs w:val="14"/>
                <w:lang w:eastAsia="en-US"/>
              </w:rPr>
              <w:t>Site Safety Health Representatives</w:t>
            </w:r>
          </w:p>
          <w:p w14:paraId="6734772C" w14:textId="77777777" w:rsidR="0017525B" w:rsidRDefault="0017525B" w:rsidP="00CA415A">
            <w:pPr>
              <w:spacing w:after="60" w:line="276" w:lineRule="auto"/>
              <w:jc w:val="left"/>
              <w:rPr>
                <w:rFonts w:cs="Arial"/>
                <w:sz w:val="14"/>
                <w:szCs w:val="14"/>
                <w:lang w:eastAsia="en-US"/>
              </w:rPr>
            </w:pPr>
            <w:r>
              <w:rPr>
                <w:rFonts w:cs="Arial"/>
                <w:sz w:val="14"/>
                <w:szCs w:val="14"/>
                <w:lang w:eastAsia="en-US"/>
              </w:rPr>
              <w:t>Affected Person</w:t>
            </w:r>
          </w:p>
          <w:p w14:paraId="62CCC89F" w14:textId="77777777" w:rsidR="0017525B" w:rsidRPr="003F6B7A" w:rsidRDefault="0017525B" w:rsidP="00CA415A">
            <w:pPr>
              <w:spacing w:after="60" w:line="276" w:lineRule="auto"/>
              <w:jc w:val="left"/>
              <w:rPr>
                <w:rFonts w:eastAsia="Arial"/>
                <w:sz w:val="14"/>
                <w:szCs w:val="14"/>
                <w:lang w:eastAsia="en-US"/>
              </w:rPr>
            </w:pPr>
            <w:r>
              <w:rPr>
                <w:rFonts w:cs="Arial"/>
                <w:sz w:val="14"/>
                <w:szCs w:val="14"/>
                <w:lang w:eastAsia="en-US"/>
              </w:rPr>
              <w:t>SEG</w:t>
            </w:r>
          </w:p>
        </w:tc>
        <w:tc>
          <w:tcPr>
            <w:tcW w:w="1274" w:type="dxa"/>
            <w:tcBorders>
              <w:bottom w:val="single" w:sz="4" w:space="0" w:color="auto"/>
            </w:tcBorders>
            <w:shd w:val="clear" w:color="auto" w:fill="FFFFFF"/>
            <w:vAlign w:val="center"/>
          </w:tcPr>
          <w:p w14:paraId="65395C58"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02322FD6" w14:textId="77777777" w:rsidTr="00CA415A">
        <w:trPr>
          <w:cantSplit/>
          <w:trHeight w:val="1134"/>
          <w:jc w:val="center"/>
        </w:trPr>
        <w:tc>
          <w:tcPr>
            <w:tcW w:w="1310" w:type="dxa"/>
            <w:vMerge/>
            <w:shd w:val="clear" w:color="auto" w:fill="FFFFFF"/>
            <w:textDirection w:val="btLr"/>
            <w:vAlign w:val="center"/>
          </w:tcPr>
          <w:p w14:paraId="48B2AEF3" w14:textId="77777777" w:rsidR="0017525B" w:rsidRPr="003F6B7A" w:rsidRDefault="0017525B" w:rsidP="00CA415A">
            <w:pPr>
              <w:spacing w:after="200" w:line="276" w:lineRule="auto"/>
              <w:ind w:left="113" w:right="113"/>
              <w:jc w:val="center"/>
              <w:rPr>
                <w:rFonts w:eastAsia="Arial"/>
                <w:b/>
                <w:sz w:val="14"/>
                <w:szCs w:val="14"/>
                <w:lang w:eastAsia="en-US"/>
              </w:rPr>
            </w:pPr>
          </w:p>
        </w:tc>
        <w:tc>
          <w:tcPr>
            <w:tcW w:w="877" w:type="dxa"/>
            <w:vMerge/>
            <w:shd w:val="clear" w:color="auto" w:fill="FFFFFF"/>
            <w:tcMar>
              <w:left w:w="28" w:type="dxa"/>
              <w:right w:w="28" w:type="dxa"/>
            </w:tcMar>
            <w:vAlign w:val="center"/>
          </w:tcPr>
          <w:p w14:paraId="09EE69DC"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p>
        </w:tc>
        <w:tc>
          <w:tcPr>
            <w:tcW w:w="944" w:type="dxa"/>
            <w:tcBorders>
              <w:bottom w:val="single" w:sz="4" w:space="0" w:color="auto"/>
            </w:tcBorders>
            <w:shd w:val="clear" w:color="auto" w:fill="FFFFFF"/>
            <w:vAlign w:val="center"/>
          </w:tcPr>
          <w:p w14:paraId="1A5FDEA3" w14:textId="77777777" w:rsidR="0017525B" w:rsidRPr="003F6B7A" w:rsidRDefault="0017525B" w:rsidP="00CA415A">
            <w:pPr>
              <w:spacing w:after="200" w:line="276" w:lineRule="auto"/>
              <w:jc w:val="left"/>
              <w:rPr>
                <w:rFonts w:eastAsia="Arial"/>
                <w:sz w:val="14"/>
                <w:szCs w:val="14"/>
                <w:lang w:eastAsia="en-US"/>
              </w:rPr>
            </w:pPr>
            <w:r>
              <w:rPr>
                <w:rFonts w:eastAsia="Arial"/>
                <w:sz w:val="14"/>
                <w:szCs w:val="14"/>
                <w:lang w:eastAsia="en-US"/>
              </w:rPr>
              <w:t>Written</w:t>
            </w:r>
          </w:p>
        </w:tc>
        <w:tc>
          <w:tcPr>
            <w:tcW w:w="1020" w:type="dxa"/>
            <w:tcBorders>
              <w:bottom w:val="single" w:sz="4" w:space="0" w:color="auto"/>
            </w:tcBorders>
            <w:shd w:val="clear" w:color="auto" w:fill="FFFFFF"/>
            <w:vAlign w:val="center"/>
          </w:tcPr>
          <w:p w14:paraId="6AECD227" w14:textId="77777777" w:rsidR="0017525B" w:rsidRPr="003F6B7A" w:rsidRDefault="0017525B" w:rsidP="00CA415A">
            <w:pPr>
              <w:spacing w:after="200" w:line="276" w:lineRule="auto"/>
              <w:jc w:val="center"/>
              <w:rPr>
                <w:rFonts w:eastAsia="Arial"/>
                <w:sz w:val="14"/>
                <w:szCs w:val="14"/>
                <w:lang w:eastAsia="en-US"/>
              </w:rPr>
            </w:pPr>
            <w:r>
              <w:rPr>
                <w:rFonts w:eastAsia="Arial"/>
                <w:sz w:val="14"/>
                <w:szCs w:val="14"/>
                <w:lang w:eastAsia="en-US"/>
              </w:rPr>
              <w:t>72 hours</w:t>
            </w:r>
          </w:p>
        </w:tc>
        <w:tc>
          <w:tcPr>
            <w:tcW w:w="1077" w:type="dxa"/>
            <w:tcBorders>
              <w:bottom w:val="single" w:sz="4" w:space="0" w:color="auto"/>
            </w:tcBorders>
            <w:shd w:val="clear" w:color="auto" w:fill="FFFFFF"/>
            <w:vAlign w:val="center"/>
          </w:tcPr>
          <w:p w14:paraId="1A471230" w14:textId="77777777" w:rsidR="0017525B" w:rsidRPr="003F6B7A" w:rsidRDefault="0017525B" w:rsidP="00CA415A">
            <w:pPr>
              <w:spacing w:after="200" w:line="276" w:lineRule="auto"/>
              <w:jc w:val="center"/>
              <w:rPr>
                <w:rFonts w:eastAsia="Arial"/>
                <w:sz w:val="14"/>
                <w:szCs w:val="14"/>
                <w:lang w:eastAsia="en-US"/>
              </w:rPr>
            </w:pPr>
            <w:r>
              <w:rPr>
                <w:rFonts w:eastAsia="Arial"/>
                <w:sz w:val="14"/>
                <w:szCs w:val="14"/>
                <w:lang w:eastAsia="en-US"/>
              </w:rPr>
              <w:t>Approved Form</w:t>
            </w:r>
          </w:p>
        </w:tc>
        <w:tc>
          <w:tcPr>
            <w:tcW w:w="1610" w:type="dxa"/>
            <w:tcBorders>
              <w:bottom w:val="single" w:sz="4" w:space="0" w:color="auto"/>
            </w:tcBorders>
            <w:shd w:val="clear" w:color="auto" w:fill="FFFFFF"/>
            <w:vAlign w:val="center"/>
          </w:tcPr>
          <w:p w14:paraId="33918432"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Pr>
                <w:rFonts w:cs="Arial"/>
                <w:sz w:val="14"/>
                <w:szCs w:val="14"/>
                <w:lang w:eastAsia="en-US"/>
              </w:rPr>
              <w:t>Chief Mines Inspector</w:t>
            </w:r>
          </w:p>
        </w:tc>
        <w:tc>
          <w:tcPr>
            <w:tcW w:w="1418" w:type="dxa"/>
            <w:tcBorders>
              <w:bottom w:val="single" w:sz="4" w:space="0" w:color="auto"/>
            </w:tcBorders>
            <w:shd w:val="clear" w:color="auto" w:fill="FFFFFF"/>
            <w:vAlign w:val="center"/>
          </w:tcPr>
          <w:p w14:paraId="708933F3" w14:textId="77777777" w:rsidR="0017525B" w:rsidRPr="003F6B7A" w:rsidRDefault="0017525B" w:rsidP="00CA415A">
            <w:pPr>
              <w:spacing w:after="200" w:line="276" w:lineRule="auto"/>
              <w:jc w:val="left"/>
              <w:rPr>
                <w:rFonts w:eastAsia="Arial"/>
                <w:sz w:val="14"/>
                <w:szCs w:val="14"/>
                <w:lang w:eastAsia="en-US"/>
              </w:rPr>
            </w:pPr>
          </w:p>
        </w:tc>
        <w:tc>
          <w:tcPr>
            <w:tcW w:w="1274" w:type="dxa"/>
            <w:tcBorders>
              <w:bottom w:val="single" w:sz="4" w:space="0" w:color="auto"/>
            </w:tcBorders>
            <w:shd w:val="clear" w:color="auto" w:fill="FFFFFF"/>
            <w:vAlign w:val="center"/>
          </w:tcPr>
          <w:p w14:paraId="5A9ADD8C"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19BC209F" w14:textId="77777777" w:rsidTr="00CA415A">
        <w:trPr>
          <w:cantSplit/>
          <w:trHeight w:val="1134"/>
          <w:jc w:val="center"/>
        </w:trPr>
        <w:tc>
          <w:tcPr>
            <w:tcW w:w="1310" w:type="dxa"/>
            <w:shd w:val="clear" w:color="auto" w:fill="FFFFFF"/>
            <w:textDirection w:val="btLr"/>
            <w:vAlign w:val="center"/>
          </w:tcPr>
          <w:p w14:paraId="5A61CE67" w14:textId="77777777" w:rsidR="0017525B" w:rsidRPr="003F6B7A" w:rsidRDefault="0017525B" w:rsidP="00CA415A">
            <w:pPr>
              <w:spacing w:after="200" w:line="276" w:lineRule="auto"/>
              <w:ind w:left="113" w:right="113"/>
              <w:jc w:val="center"/>
              <w:rPr>
                <w:rFonts w:eastAsia="Arial"/>
                <w:b/>
                <w:sz w:val="14"/>
                <w:szCs w:val="14"/>
                <w:lang w:eastAsia="en-US"/>
              </w:rPr>
            </w:pPr>
            <w:r w:rsidRPr="003F6B7A">
              <w:rPr>
                <w:rFonts w:eastAsia="Arial"/>
                <w:b/>
                <w:sz w:val="14"/>
                <w:szCs w:val="14"/>
                <w:lang w:eastAsia="en-US"/>
              </w:rPr>
              <w:t>Serious Electrical Incident, or Dangerous Electrical Event</w:t>
            </w:r>
            <w:r w:rsidRPr="003F6B7A">
              <w:rPr>
                <w:rFonts w:eastAsia="Arial"/>
                <w:b/>
                <w:sz w:val="14"/>
                <w:szCs w:val="14"/>
                <w:vertAlign w:val="superscript"/>
                <w:lang w:eastAsia="en-US"/>
              </w:rPr>
              <w:t>#3</w:t>
            </w:r>
          </w:p>
        </w:tc>
        <w:tc>
          <w:tcPr>
            <w:tcW w:w="877" w:type="dxa"/>
            <w:shd w:val="clear" w:color="auto" w:fill="FFFFFF"/>
            <w:tcMar>
              <w:left w:w="28" w:type="dxa"/>
              <w:right w:w="28" w:type="dxa"/>
            </w:tcMar>
            <w:vAlign w:val="center"/>
          </w:tcPr>
          <w:p w14:paraId="75381EF5"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Notification</w:t>
            </w:r>
          </w:p>
        </w:tc>
        <w:tc>
          <w:tcPr>
            <w:tcW w:w="944" w:type="dxa"/>
            <w:tcBorders>
              <w:bottom w:val="single" w:sz="4" w:space="0" w:color="auto"/>
            </w:tcBorders>
            <w:shd w:val="clear" w:color="auto" w:fill="FFFFFF"/>
            <w:vAlign w:val="center"/>
          </w:tcPr>
          <w:p w14:paraId="0508902C"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Written</w:t>
            </w:r>
          </w:p>
        </w:tc>
        <w:tc>
          <w:tcPr>
            <w:tcW w:w="1020" w:type="dxa"/>
            <w:tcBorders>
              <w:bottom w:val="single" w:sz="4" w:space="0" w:color="auto"/>
            </w:tcBorders>
            <w:shd w:val="clear" w:color="auto" w:fill="FFFFFF"/>
            <w:vAlign w:val="center"/>
          </w:tcPr>
          <w:p w14:paraId="348FA281"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24 hours</w:t>
            </w:r>
          </w:p>
        </w:tc>
        <w:tc>
          <w:tcPr>
            <w:tcW w:w="1077" w:type="dxa"/>
            <w:tcBorders>
              <w:bottom w:val="single" w:sz="4" w:space="0" w:color="auto"/>
            </w:tcBorders>
            <w:shd w:val="clear" w:color="auto" w:fill="FFFFFF"/>
            <w:vAlign w:val="center"/>
          </w:tcPr>
          <w:p w14:paraId="055A0363"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In addit</w:t>
            </w:r>
            <w:r>
              <w:rPr>
                <w:rFonts w:eastAsia="Arial"/>
                <w:sz w:val="14"/>
                <w:szCs w:val="14"/>
                <w:lang w:eastAsia="en-US"/>
              </w:rPr>
              <w:t>ion to reporting under legislation</w:t>
            </w:r>
            <w:r w:rsidRPr="003F6B7A">
              <w:rPr>
                <w:rFonts w:eastAsia="Arial"/>
                <w:sz w:val="14"/>
                <w:szCs w:val="14"/>
                <w:lang w:eastAsia="en-US"/>
              </w:rPr>
              <w:t xml:space="preserve"> or WHSA, </w:t>
            </w:r>
            <w:hyperlink r:id="rId16" w:history="1">
              <w:r w:rsidRPr="003F6B7A">
                <w:rPr>
                  <w:rFonts w:eastAsia="Arial"/>
                  <w:sz w:val="14"/>
                  <w:szCs w:val="14"/>
                  <w:lang w:eastAsia="en-US"/>
                </w:rPr>
                <w:t>Online Form 3</w:t>
              </w:r>
            </w:hyperlink>
          </w:p>
        </w:tc>
        <w:tc>
          <w:tcPr>
            <w:tcW w:w="1610" w:type="dxa"/>
            <w:tcBorders>
              <w:bottom w:val="single" w:sz="4" w:space="0" w:color="auto"/>
            </w:tcBorders>
            <w:shd w:val="clear" w:color="auto" w:fill="FFFFFF"/>
            <w:vAlign w:val="center"/>
          </w:tcPr>
          <w:p w14:paraId="69409C3E"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Mines Inspectorate</w:t>
            </w:r>
          </w:p>
          <w:p w14:paraId="6EB6E7F6"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Pr>
                <w:rFonts w:cs="Arial"/>
                <w:sz w:val="14"/>
                <w:szCs w:val="14"/>
                <w:lang w:eastAsia="en-US"/>
              </w:rPr>
              <w:t>Industry Health and</w:t>
            </w:r>
            <w:r w:rsidRPr="003F6B7A">
              <w:rPr>
                <w:rFonts w:cs="Arial"/>
                <w:sz w:val="14"/>
                <w:szCs w:val="14"/>
                <w:lang w:eastAsia="en-US"/>
              </w:rPr>
              <w:t xml:space="preserve"> Safety Representative</w:t>
            </w:r>
          </w:p>
          <w:p w14:paraId="79EDC8B7"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Electrical Inspectorate</w:t>
            </w:r>
          </w:p>
        </w:tc>
        <w:tc>
          <w:tcPr>
            <w:tcW w:w="1418" w:type="dxa"/>
            <w:tcBorders>
              <w:bottom w:val="single" w:sz="4" w:space="0" w:color="auto"/>
            </w:tcBorders>
            <w:shd w:val="clear" w:color="auto" w:fill="FFFFFF"/>
            <w:vAlign w:val="center"/>
          </w:tcPr>
          <w:p w14:paraId="323A1A87"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Health and Safety / Electrical Engineering Manager / SSE</w:t>
            </w:r>
          </w:p>
        </w:tc>
        <w:tc>
          <w:tcPr>
            <w:tcW w:w="1274" w:type="dxa"/>
            <w:tcBorders>
              <w:bottom w:val="single" w:sz="4" w:space="0" w:color="auto"/>
            </w:tcBorders>
            <w:shd w:val="clear" w:color="auto" w:fill="FFFFFF"/>
            <w:vAlign w:val="center"/>
          </w:tcPr>
          <w:p w14:paraId="7A18853B"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Electrical Engineering Manager / SSE</w:t>
            </w:r>
          </w:p>
        </w:tc>
      </w:tr>
      <w:tr w:rsidR="0017525B" w:rsidRPr="003F6B7A" w14:paraId="48B47B09" w14:textId="77777777" w:rsidTr="00CA415A">
        <w:trPr>
          <w:cantSplit/>
          <w:trHeight w:val="1134"/>
          <w:jc w:val="center"/>
        </w:trPr>
        <w:tc>
          <w:tcPr>
            <w:tcW w:w="1310" w:type="dxa"/>
            <w:shd w:val="clear" w:color="auto" w:fill="FFFFFF"/>
            <w:textDirection w:val="btLr"/>
            <w:vAlign w:val="center"/>
          </w:tcPr>
          <w:p w14:paraId="613C34B9" w14:textId="77777777" w:rsidR="0017525B" w:rsidRPr="003F6B7A" w:rsidRDefault="0017525B" w:rsidP="00CA415A">
            <w:pPr>
              <w:spacing w:after="200" w:line="276" w:lineRule="auto"/>
              <w:ind w:left="113" w:right="113"/>
              <w:jc w:val="center"/>
              <w:rPr>
                <w:rFonts w:eastAsia="Arial"/>
                <w:b/>
                <w:sz w:val="14"/>
                <w:szCs w:val="14"/>
                <w:lang w:eastAsia="en-US"/>
              </w:rPr>
            </w:pPr>
            <w:r w:rsidRPr="003F6B7A">
              <w:rPr>
                <w:rFonts w:eastAsia="Arial"/>
                <w:b/>
                <w:sz w:val="14"/>
                <w:szCs w:val="14"/>
                <w:lang w:eastAsia="en-US"/>
              </w:rPr>
              <w:t>Explosives Incident</w:t>
            </w:r>
          </w:p>
        </w:tc>
        <w:tc>
          <w:tcPr>
            <w:tcW w:w="877" w:type="dxa"/>
            <w:shd w:val="clear" w:color="auto" w:fill="FFFFFF"/>
            <w:vAlign w:val="center"/>
          </w:tcPr>
          <w:p w14:paraId="5DBF898D"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Report</w:t>
            </w:r>
          </w:p>
        </w:tc>
        <w:tc>
          <w:tcPr>
            <w:tcW w:w="944" w:type="dxa"/>
            <w:tcBorders>
              <w:bottom w:val="single" w:sz="4" w:space="0" w:color="auto"/>
            </w:tcBorders>
            <w:shd w:val="clear" w:color="auto" w:fill="FFFFFF"/>
            <w:vAlign w:val="center"/>
          </w:tcPr>
          <w:p w14:paraId="180CD917"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Written</w:t>
            </w:r>
          </w:p>
        </w:tc>
        <w:tc>
          <w:tcPr>
            <w:tcW w:w="1020" w:type="dxa"/>
            <w:tcBorders>
              <w:bottom w:val="single" w:sz="4" w:space="0" w:color="auto"/>
            </w:tcBorders>
            <w:shd w:val="clear" w:color="auto" w:fill="FFFFFF"/>
            <w:vAlign w:val="center"/>
          </w:tcPr>
          <w:p w14:paraId="3FF10C4A"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As soon as  practicable</w:t>
            </w:r>
          </w:p>
        </w:tc>
        <w:tc>
          <w:tcPr>
            <w:tcW w:w="1077" w:type="dxa"/>
            <w:tcBorders>
              <w:bottom w:val="single" w:sz="4" w:space="0" w:color="auto"/>
            </w:tcBorders>
            <w:shd w:val="clear" w:color="auto" w:fill="FFFFFF"/>
            <w:vAlign w:val="center"/>
          </w:tcPr>
          <w:p w14:paraId="1D7150EC"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Not applicable</w:t>
            </w:r>
          </w:p>
        </w:tc>
        <w:tc>
          <w:tcPr>
            <w:tcW w:w="1610" w:type="dxa"/>
            <w:tcBorders>
              <w:bottom w:val="single" w:sz="4" w:space="0" w:color="auto"/>
            </w:tcBorders>
            <w:shd w:val="clear" w:color="auto" w:fill="FFFFFF"/>
            <w:vAlign w:val="center"/>
          </w:tcPr>
          <w:p w14:paraId="1F3A1FA4"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Explosives Inspectorate</w:t>
            </w:r>
          </w:p>
          <w:p w14:paraId="13DC8902" w14:textId="77777777" w:rsidR="0017525B" w:rsidRPr="003F6B7A" w:rsidRDefault="0017525B" w:rsidP="004279CE">
            <w:pPr>
              <w:keepNext/>
              <w:keepLines/>
              <w:numPr>
                <w:ilvl w:val="0"/>
                <w:numId w:val="9"/>
              </w:numPr>
              <w:spacing w:after="200" w:line="276" w:lineRule="auto"/>
              <w:ind w:left="110" w:hanging="160"/>
              <w:contextualSpacing/>
              <w:jc w:val="left"/>
              <w:rPr>
                <w:rFonts w:cs="Arial"/>
                <w:sz w:val="14"/>
                <w:szCs w:val="14"/>
                <w:lang w:eastAsia="en-US"/>
              </w:rPr>
            </w:pPr>
            <w:r w:rsidRPr="003F6B7A">
              <w:rPr>
                <w:rFonts w:cs="Arial"/>
                <w:sz w:val="14"/>
                <w:szCs w:val="14"/>
                <w:lang w:eastAsia="en-US"/>
              </w:rPr>
              <w:t>Mines Inspectorate</w:t>
            </w:r>
          </w:p>
        </w:tc>
        <w:tc>
          <w:tcPr>
            <w:tcW w:w="1418" w:type="dxa"/>
            <w:tcBorders>
              <w:bottom w:val="single" w:sz="4" w:space="0" w:color="auto"/>
            </w:tcBorders>
            <w:shd w:val="clear" w:color="auto" w:fill="FFFFFF"/>
            <w:vAlign w:val="center"/>
          </w:tcPr>
          <w:p w14:paraId="0E80CE92"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Health and Safety /Mining Manager / SSE</w:t>
            </w:r>
          </w:p>
        </w:tc>
        <w:tc>
          <w:tcPr>
            <w:tcW w:w="1274" w:type="dxa"/>
            <w:tcBorders>
              <w:bottom w:val="single" w:sz="4" w:space="0" w:color="auto"/>
            </w:tcBorders>
            <w:shd w:val="clear" w:color="auto" w:fill="FFFFFF"/>
            <w:vAlign w:val="center"/>
          </w:tcPr>
          <w:p w14:paraId="7E817D65"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SSE</w:t>
            </w:r>
          </w:p>
        </w:tc>
      </w:tr>
      <w:tr w:rsidR="0017525B" w:rsidRPr="003F6B7A" w14:paraId="26096955" w14:textId="77777777" w:rsidTr="00CA415A">
        <w:trPr>
          <w:trHeight w:val="300"/>
          <w:jc w:val="center"/>
        </w:trPr>
        <w:tc>
          <w:tcPr>
            <w:tcW w:w="1310" w:type="dxa"/>
            <w:vMerge w:val="restart"/>
            <w:shd w:val="clear" w:color="auto" w:fill="FFFFFF"/>
            <w:textDirection w:val="btLr"/>
            <w:vAlign w:val="center"/>
          </w:tcPr>
          <w:p w14:paraId="4EE0DF1C" w14:textId="77777777" w:rsidR="0017525B" w:rsidRPr="003F6B7A" w:rsidRDefault="0017525B" w:rsidP="00CA415A">
            <w:pPr>
              <w:spacing w:after="200" w:line="276" w:lineRule="auto"/>
              <w:ind w:left="113" w:right="113"/>
              <w:jc w:val="center"/>
              <w:rPr>
                <w:rFonts w:eastAsia="Arial"/>
                <w:b/>
                <w:sz w:val="14"/>
                <w:szCs w:val="14"/>
                <w:lang w:eastAsia="en-US"/>
              </w:rPr>
            </w:pPr>
            <w:r w:rsidRPr="003F6B7A">
              <w:rPr>
                <w:rFonts w:eastAsia="Arial"/>
                <w:b/>
                <w:sz w:val="14"/>
                <w:szCs w:val="14"/>
                <w:lang w:eastAsia="en-US"/>
              </w:rPr>
              <w:t>Radiation incident or dangerous event</w:t>
            </w:r>
          </w:p>
          <w:p w14:paraId="23DC2305" w14:textId="77777777" w:rsidR="0017525B" w:rsidRPr="003F6B7A" w:rsidRDefault="0017525B" w:rsidP="00CA415A">
            <w:pPr>
              <w:spacing w:after="200" w:line="276" w:lineRule="auto"/>
              <w:ind w:left="113" w:right="113"/>
              <w:jc w:val="center"/>
              <w:rPr>
                <w:rFonts w:eastAsia="Arial"/>
                <w:i/>
                <w:sz w:val="14"/>
                <w:szCs w:val="14"/>
                <w:lang w:eastAsia="en-US"/>
              </w:rPr>
            </w:pPr>
            <w:r w:rsidRPr="003F6B7A">
              <w:rPr>
                <w:rFonts w:eastAsia="Arial"/>
                <w:b/>
                <w:i/>
                <w:sz w:val="14"/>
                <w:szCs w:val="14"/>
                <w:lang w:eastAsia="en-US"/>
              </w:rPr>
              <w:t>(Radiation Safety Act 1999)</w:t>
            </w:r>
          </w:p>
        </w:tc>
        <w:tc>
          <w:tcPr>
            <w:tcW w:w="877" w:type="dxa"/>
            <w:shd w:val="clear" w:color="auto" w:fill="FFFFFF"/>
            <w:tcMar>
              <w:left w:w="28" w:type="dxa"/>
              <w:right w:w="28" w:type="dxa"/>
            </w:tcMar>
            <w:vAlign w:val="center"/>
          </w:tcPr>
          <w:p w14:paraId="4F38353B" w14:textId="77777777" w:rsidR="0017525B" w:rsidRPr="003F6B7A" w:rsidRDefault="0017525B" w:rsidP="00CA415A">
            <w:pPr>
              <w:keepNext/>
              <w:keepLines/>
              <w:tabs>
                <w:tab w:val="left" w:pos="857"/>
              </w:tabs>
              <w:spacing w:after="200" w:line="276" w:lineRule="auto"/>
              <w:ind w:firstLine="1"/>
              <w:jc w:val="center"/>
              <w:rPr>
                <w:rFonts w:eastAsia="Arial"/>
                <w:sz w:val="14"/>
                <w:szCs w:val="14"/>
                <w:lang w:eastAsia="en-US"/>
              </w:rPr>
            </w:pPr>
            <w:r w:rsidRPr="003F6B7A">
              <w:rPr>
                <w:rFonts w:eastAsia="Arial"/>
                <w:sz w:val="14"/>
                <w:szCs w:val="14"/>
                <w:lang w:eastAsia="en-US"/>
              </w:rPr>
              <w:t>Notification</w:t>
            </w:r>
          </w:p>
        </w:tc>
        <w:tc>
          <w:tcPr>
            <w:tcW w:w="944" w:type="dxa"/>
            <w:tcBorders>
              <w:top w:val="single" w:sz="4" w:space="0" w:color="auto"/>
              <w:bottom w:val="single" w:sz="4" w:space="0" w:color="auto"/>
            </w:tcBorders>
            <w:shd w:val="clear" w:color="auto" w:fill="FFFFFF"/>
            <w:vAlign w:val="center"/>
          </w:tcPr>
          <w:p w14:paraId="3A5EFE09"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Verbal or in writing</w:t>
            </w:r>
          </w:p>
        </w:tc>
        <w:tc>
          <w:tcPr>
            <w:tcW w:w="1020" w:type="dxa"/>
            <w:tcBorders>
              <w:top w:val="single" w:sz="4" w:space="0" w:color="auto"/>
              <w:bottom w:val="single" w:sz="4" w:space="0" w:color="auto"/>
            </w:tcBorders>
            <w:shd w:val="clear" w:color="auto" w:fill="FFFFFF"/>
            <w:vAlign w:val="center"/>
          </w:tcPr>
          <w:p w14:paraId="694484CC"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Immediately</w:t>
            </w:r>
          </w:p>
        </w:tc>
        <w:tc>
          <w:tcPr>
            <w:tcW w:w="1077" w:type="dxa"/>
            <w:tcBorders>
              <w:bottom w:val="single" w:sz="4" w:space="0" w:color="auto"/>
            </w:tcBorders>
            <w:shd w:val="clear" w:color="auto" w:fill="FFFFFF"/>
            <w:vAlign w:val="center"/>
          </w:tcPr>
          <w:p w14:paraId="04A764AC"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Not applicable</w:t>
            </w:r>
          </w:p>
        </w:tc>
        <w:tc>
          <w:tcPr>
            <w:tcW w:w="1610" w:type="dxa"/>
            <w:tcBorders>
              <w:bottom w:val="single" w:sz="4" w:space="0" w:color="auto"/>
            </w:tcBorders>
            <w:shd w:val="clear" w:color="auto" w:fill="FFFFFF"/>
            <w:vAlign w:val="center"/>
          </w:tcPr>
          <w:p w14:paraId="24CDD6CE"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 xml:space="preserve">Chief Executive, Queensland Health </w:t>
            </w:r>
          </w:p>
        </w:tc>
        <w:tc>
          <w:tcPr>
            <w:tcW w:w="1418" w:type="dxa"/>
            <w:tcBorders>
              <w:bottom w:val="single" w:sz="4" w:space="0" w:color="auto"/>
            </w:tcBorders>
            <w:shd w:val="clear" w:color="auto" w:fill="FFFFFF"/>
            <w:vAlign w:val="center"/>
          </w:tcPr>
          <w:p w14:paraId="07B658C8"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Radiation Safety Officer (RSO) / Health and Safety / SSE</w:t>
            </w:r>
          </w:p>
        </w:tc>
        <w:tc>
          <w:tcPr>
            <w:tcW w:w="1274" w:type="dxa"/>
            <w:tcBorders>
              <w:bottom w:val="single" w:sz="4" w:space="0" w:color="auto"/>
            </w:tcBorders>
            <w:shd w:val="clear" w:color="auto" w:fill="FFFFFF"/>
            <w:vAlign w:val="center"/>
          </w:tcPr>
          <w:p w14:paraId="7978B01E"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 xml:space="preserve">RSO </w:t>
            </w:r>
          </w:p>
        </w:tc>
      </w:tr>
      <w:tr w:rsidR="0017525B" w:rsidRPr="003F6B7A" w14:paraId="25EC4F5D" w14:textId="77777777" w:rsidTr="00CA415A">
        <w:trPr>
          <w:trHeight w:val="731"/>
          <w:jc w:val="center"/>
        </w:trPr>
        <w:tc>
          <w:tcPr>
            <w:tcW w:w="1310" w:type="dxa"/>
            <w:vMerge/>
            <w:tcBorders>
              <w:bottom w:val="single" w:sz="4" w:space="0" w:color="000000"/>
            </w:tcBorders>
            <w:shd w:val="clear" w:color="auto" w:fill="FFFFFF"/>
            <w:vAlign w:val="center"/>
          </w:tcPr>
          <w:p w14:paraId="521AB439" w14:textId="77777777" w:rsidR="0017525B" w:rsidRPr="003F6B7A" w:rsidRDefault="0017525B" w:rsidP="00CA415A">
            <w:pPr>
              <w:spacing w:after="200" w:line="276" w:lineRule="auto"/>
              <w:jc w:val="center"/>
              <w:rPr>
                <w:rFonts w:eastAsia="Arial"/>
                <w:sz w:val="14"/>
                <w:szCs w:val="14"/>
                <w:lang w:eastAsia="en-US"/>
              </w:rPr>
            </w:pPr>
          </w:p>
        </w:tc>
        <w:tc>
          <w:tcPr>
            <w:tcW w:w="877" w:type="dxa"/>
            <w:tcBorders>
              <w:bottom w:val="single" w:sz="4" w:space="0" w:color="000000"/>
            </w:tcBorders>
            <w:shd w:val="clear" w:color="auto" w:fill="FFFFFF"/>
            <w:tcMar>
              <w:left w:w="28" w:type="dxa"/>
              <w:right w:w="28" w:type="dxa"/>
            </w:tcMar>
            <w:vAlign w:val="center"/>
          </w:tcPr>
          <w:p w14:paraId="6580E072" w14:textId="77777777" w:rsidR="0017525B" w:rsidRPr="003F6B7A" w:rsidRDefault="0017525B" w:rsidP="00CA415A">
            <w:pPr>
              <w:keepNext/>
              <w:keepLines/>
              <w:tabs>
                <w:tab w:val="left" w:pos="857"/>
              </w:tabs>
              <w:spacing w:after="200" w:line="276" w:lineRule="auto"/>
              <w:ind w:left="-20"/>
              <w:jc w:val="center"/>
              <w:rPr>
                <w:rFonts w:eastAsia="Arial"/>
                <w:sz w:val="14"/>
                <w:szCs w:val="14"/>
                <w:lang w:eastAsia="en-US"/>
              </w:rPr>
            </w:pPr>
            <w:r w:rsidRPr="003F6B7A">
              <w:rPr>
                <w:rFonts w:eastAsia="Arial"/>
                <w:sz w:val="14"/>
                <w:szCs w:val="14"/>
                <w:lang w:eastAsia="en-US"/>
              </w:rPr>
              <w:t>Confirmation</w:t>
            </w:r>
          </w:p>
        </w:tc>
        <w:tc>
          <w:tcPr>
            <w:tcW w:w="944" w:type="dxa"/>
            <w:tcBorders>
              <w:top w:val="single" w:sz="4" w:space="0" w:color="auto"/>
              <w:bottom w:val="single" w:sz="4" w:space="0" w:color="000000"/>
            </w:tcBorders>
            <w:shd w:val="clear" w:color="auto" w:fill="FFFFFF"/>
            <w:vAlign w:val="center"/>
          </w:tcPr>
          <w:p w14:paraId="1C2F6B47"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Only if initial notification provided verbally</w:t>
            </w:r>
          </w:p>
        </w:tc>
        <w:tc>
          <w:tcPr>
            <w:tcW w:w="1020" w:type="dxa"/>
            <w:tcBorders>
              <w:top w:val="single" w:sz="4" w:space="0" w:color="auto"/>
              <w:bottom w:val="single" w:sz="4" w:space="0" w:color="000000"/>
            </w:tcBorders>
            <w:shd w:val="clear" w:color="auto" w:fill="FFFFFF"/>
            <w:vAlign w:val="center"/>
          </w:tcPr>
          <w:p w14:paraId="623351EA"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Within 7 days</w:t>
            </w:r>
          </w:p>
        </w:tc>
        <w:tc>
          <w:tcPr>
            <w:tcW w:w="1077" w:type="dxa"/>
            <w:tcBorders>
              <w:bottom w:val="single" w:sz="4" w:space="0" w:color="000000"/>
            </w:tcBorders>
            <w:shd w:val="clear" w:color="auto" w:fill="FFFFFF"/>
            <w:vAlign w:val="center"/>
          </w:tcPr>
          <w:p w14:paraId="65DA7704" w14:textId="77777777" w:rsidR="0017525B" w:rsidRPr="003F6B7A" w:rsidRDefault="0017525B" w:rsidP="00CA415A">
            <w:pPr>
              <w:spacing w:after="200" w:line="276" w:lineRule="auto"/>
              <w:jc w:val="center"/>
              <w:rPr>
                <w:rFonts w:eastAsia="Arial"/>
                <w:sz w:val="14"/>
                <w:szCs w:val="14"/>
                <w:lang w:eastAsia="en-US"/>
              </w:rPr>
            </w:pPr>
            <w:r w:rsidRPr="003F6B7A">
              <w:rPr>
                <w:rFonts w:eastAsia="Arial"/>
                <w:sz w:val="14"/>
                <w:szCs w:val="14"/>
                <w:lang w:eastAsia="en-US"/>
              </w:rPr>
              <w:t>Not applicable</w:t>
            </w:r>
          </w:p>
        </w:tc>
        <w:tc>
          <w:tcPr>
            <w:tcW w:w="1610" w:type="dxa"/>
            <w:tcBorders>
              <w:bottom w:val="single" w:sz="4" w:space="0" w:color="000000"/>
            </w:tcBorders>
            <w:shd w:val="clear" w:color="auto" w:fill="FFFFFF"/>
            <w:vAlign w:val="center"/>
          </w:tcPr>
          <w:p w14:paraId="0914BBB5"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Chief Executive, Queensland Health</w:t>
            </w:r>
          </w:p>
        </w:tc>
        <w:tc>
          <w:tcPr>
            <w:tcW w:w="1418" w:type="dxa"/>
            <w:tcBorders>
              <w:bottom w:val="single" w:sz="4" w:space="0" w:color="000000"/>
            </w:tcBorders>
            <w:shd w:val="clear" w:color="auto" w:fill="FFFFFF"/>
            <w:vAlign w:val="center"/>
          </w:tcPr>
          <w:p w14:paraId="7B71CDC4"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RSO / Health and Safety / SSE</w:t>
            </w:r>
          </w:p>
        </w:tc>
        <w:tc>
          <w:tcPr>
            <w:tcW w:w="1274" w:type="dxa"/>
            <w:tcBorders>
              <w:bottom w:val="single" w:sz="4" w:space="0" w:color="000000"/>
            </w:tcBorders>
            <w:shd w:val="clear" w:color="auto" w:fill="FFFFFF"/>
            <w:vAlign w:val="center"/>
          </w:tcPr>
          <w:p w14:paraId="57EFCF30" w14:textId="77777777" w:rsidR="0017525B" w:rsidRPr="003F6B7A" w:rsidRDefault="0017525B" w:rsidP="00CA415A">
            <w:pPr>
              <w:spacing w:after="200" w:line="276" w:lineRule="auto"/>
              <w:jc w:val="left"/>
              <w:rPr>
                <w:rFonts w:eastAsia="Arial"/>
                <w:sz w:val="14"/>
                <w:szCs w:val="14"/>
                <w:lang w:eastAsia="en-US"/>
              </w:rPr>
            </w:pPr>
            <w:r w:rsidRPr="003F6B7A">
              <w:rPr>
                <w:rFonts w:eastAsia="Arial"/>
                <w:sz w:val="14"/>
                <w:szCs w:val="14"/>
                <w:lang w:eastAsia="en-US"/>
              </w:rPr>
              <w:t>RSO</w:t>
            </w:r>
          </w:p>
        </w:tc>
      </w:tr>
    </w:tbl>
    <w:p w14:paraId="75AD5DFA" w14:textId="77777777" w:rsidR="0017525B" w:rsidRDefault="0017525B" w:rsidP="0017525B">
      <w:pPr>
        <w:jc w:val="left"/>
      </w:pPr>
    </w:p>
    <w:p w14:paraId="16FB2CB2" w14:textId="77777777" w:rsidR="0017525B" w:rsidRPr="009D388A" w:rsidRDefault="0017525B" w:rsidP="0017525B">
      <w:pPr>
        <w:pStyle w:val="Heading1"/>
      </w:pPr>
      <w:bookmarkStart w:id="52" w:name="_Toc33890103"/>
      <w:bookmarkStart w:id="53" w:name="_Toc75784380"/>
      <w:r>
        <w:t>ICAM Investigation Report</w:t>
      </w:r>
      <w:bookmarkEnd w:id="52"/>
      <w:bookmarkEnd w:id="53"/>
    </w:p>
    <w:p w14:paraId="3CEE594B" w14:textId="77777777" w:rsidR="0017525B" w:rsidRDefault="0017525B" w:rsidP="0017525B">
      <w:pPr>
        <w:pStyle w:val="Body"/>
      </w:pPr>
      <w:r>
        <w:t>The ICAM Investigation Report is a presentation of the findings and recommendations it includes the ICAM Analysis and ICAM Timeline to assist readers with understanding the methodology and the process for coming to the findings of the report. The report must be readable to the target audience, factual, and logical. Make sure the report undergoes peer review to prevent errors or irrelevancies becoming part of the official report.</w:t>
      </w:r>
    </w:p>
    <w:p w14:paraId="1EE467AB" w14:textId="77777777" w:rsidR="0017525B" w:rsidRPr="00B2319D" w:rsidRDefault="0017525B" w:rsidP="0017525B">
      <w:pPr>
        <w:pStyle w:val="Heading1"/>
      </w:pPr>
      <w:bookmarkStart w:id="54" w:name="_Toc536616912"/>
      <w:bookmarkStart w:id="55" w:name="_Toc33890104"/>
      <w:bookmarkStart w:id="56" w:name="_Toc75784381"/>
      <w:r w:rsidRPr="00B2319D">
        <w:t>REVIEW CRITERIA</w:t>
      </w:r>
      <w:bookmarkEnd w:id="54"/>
      <w:bookmarkEnd w:id="55"/>
      <w:bookmarkEnd w:id="56"/>
    </w:p>
    <w:p w14:paraId="3B69C14B" w14:textId="77777777" w:rsidR="0017525B" w:rsidRPr="004E32C3" w:rsidRDefault="0017525B" w:rsidP="0017525B">
      <w:pPr>
        <w:pStyle w:val="Body"/>
      </w:pPr>
      <w:r>
        <w:t xml:space="preserve">This standard </w:t>
      </w:r>
      <w:r w:rsidRPr="004E32C3">
        <w:t>shall be reviewed:</w:t>
      </w:r>
    </w:p>
    <w:p w14:paraId="63294099" w14:textId="77777777" w:rsidR="0017525B" w:rsidRPr="004E32C3" w:rsidRDefault="0017525B" w:rsidP="0017525B">
      <w:pPr>
        <w:pStyle w:val="Bullets"/>
        <w:spacing w:before="60" w:after="60" w:line="300" w:lineRule="auto"/>
      </w:pPr>
      <w:r w:rsidRPr="004E32C3">
        <w:t>Every three years;</w:t>
      </w:r>
    </w:p>
    <w:p w14:paraId="40A00C11" w14:textId="77777777" w:rsidR="0017525B" w:rsidRPr="004E32C3" w:rsidRDefault="0017525B" w:rsidP="0017525B">
      <w:pPr>
        <w:pStyle w:val="Bullets"/>
        <w:spacing w:before="60" w:after="60" w:line="300" w:lineRule="auto"/>
      </w:pPr>
      <w:r w:rsidRPr="004E32C3">
        <w:t>When there is a change of method and/or technology that may affect the accuracy of this document;</w:t>
      </w:r>
      <w:r>
        <w:t xml:space="preserve"> and</w:t>
      </w:r>
    </w:p>
    <w:p w14:paraId="56FBC3E3" w14:textId="77777777" w:rsidR="0017525B" w:rsidRPr="004E32C3" w:rsidRDefault="0017525B" w:rsidP="0017525B">
      <w:pPr>
        <w:pStyle w:val="Bullets"/>
        <w:spacing w:before="60" w:after="60" w:line="300" w:lineRule="auto"/>
      </w:pPr>
      <w:r w:rsidRPr="004E32C3">
        <w:t>When a significant incident has occurred that is relevant to this document and its subject matter.</w:t>
      </w:r>
    </w:p>
    <w:p w14:paraId="1396C1E5" w14:textId="77777777" w:rsidR="0017525B" w:rsidRPr="00B2319D" w:rsidRDefault="0017525B" w:rsidP="0017525B">
      <w:pPr>
        <w:pStyle w:val="Heading1"/>
      </w:pPr>
      <w:bookmarkStart w:id="57" w:name="_Toc536616913"/>
      <w:bookmarkStart w:id="58" w:name="_Toc33890105"/>
      <w:bookmarkStart w:id="59" w:name="_Toc75784382"/>
      <w:r w:rsidRPr="00B2319D">
        <w:t>SAFETY AND ENVIRONMENT</w:t>
      </w:r>
      <w:bookmarkEnd w:id="57"/>
      <w:bookmarkEnd w:id="58"/>
      <w:bookmarkEnd w:id="59"/>
    </w:p>
    <w:p w14:paraId="19992D49" w14:textId="77777777" w:rsidR="0017525B" w:rsidRDefault="0017525B" w:rsidP="0017525B">
      <w:pPr>
        <w:pStyle w:val="Body"/>
      </w:pPr>
      <w:r>
        <w:t xml:space="preserve">Safety and Environment are covered in the body of this standard. </w:t>
      </w:r>
    </w:p>
    <w:p w14:paraId="246AFAC0" w14:textId="77777777" w:rsidR="0017525B" w:rsidRPr="00DD5668" w:rsidRDefault="0017525B" w:rsidP="0017525B">
      <w:pPr>
        <w:pStyle w:val="Heading1"/>
      </w:pPr>
      <w:bookmarkStart w:id="60" w:name="_Toc536616914"/>
      <w:bookmarkStart w:id="61" w:name="_Toc33890106"/>
      <w:bookmarkStart w:id="62" w:name="_Toc75784383"/>
      <w:r w:rsidRPr="00DD5668">
        <w:t>ATTACHMENTS, REFERENCES AND RELATED DOCUMENTS</w:t>
      </w:r>
      <w:bookmarkEnd w:id="60"/>
      <w:bookmarkEnd w:id="61"/>
      <w:bookmarkEnd w:id="62"/>
    </w:p>
    <w:p w14:paraId="37225830" w14:textId="77777777" w:rsidR="0017525B" w:rsidRDefault="0017525B" w:rsidP="0017525B">
      <w:pPr>
        <w:pStyle w:val="Heading2"/>
      </w:pPr>
      <w:bookmarkStart w:id="63" w:name="_Toc536616915"/>
      <w:bookmarkStart w:id="64" w:name="_Toc33890107"/>
      <w:bookmarkStart w:id="65" w:name="_Toc75784384"/>
      <w:r>
        <w:t>References and Related Documents</w:t>
      </w:r>
      <w:bookmarkEnd w:id="63"/>
      <w:bookmarkEnd w:id="64"/>
      <w:bookmarkEnd w:id="65"/>
    </w:p>
    <w:p w14:paraId="3B9E0B5F" w14:textId="0323CD97" w:rsidR="0017525B" w:rsidRDefault="0017525B" w:rsidP="0017525B">
      <w:pPr>
        <w:pStyle w:val="Body"/>
      </w:pPr>
      <w:r>
        <w:t>Kaius Mine Standard 02 Risk Management</w:t>
      </w:r>
    </w:p>
    <w:p w14:paraId="3926FE80" w14:textId="0CDC3311" w:rsidR="0017525B" w:rsidRDefault="0017525B" w:rsidP="0017525B">
      <w:pPr>
        <w:pStyle w:val="Body"/>
      </w:pPr>
      <w:r>
        <w:t>Kaius Mine Standard 02 Change Management</w:t>
      </w:r>
    </w:p>
    <w:p w14:paraId="27FE36D0" w14:textId="6B6F3C82" w:rsidR="0017525B" w:rsidRDefault="0017525B" w:rsidP="0017525B">
      <w:pPr>
        <w:pStyle w:val="Body"/>
      </w:pPr>
      <w:r>
        <w:t>Kaius Mine Standard 07 Plant and Equipment</w:t>
      </w:r>
    </w:p>
    <w:p w14:paraId="5E8999E2" w14:textId="2CD5DBEC" w:rsidR="0017525B" w:rsidRDefault="0017525B" w:rsidP="0017525B">
      <w:pPr>
        <w:pStyle w:val="Body"/>
      </w:pPr>
      <w:r>
        <w:t>Coal Mining Safety and Health legislation</w:t>
      </w:r>
    </w:p>
    <w:p w14:paraId="5FE16883" w14:textId="77777777" w:rsidR="0017525B" w:rsidRDefault="0017525B" w:rsidP="0017525B">
      <w:pPr>
        <w:pStyle w:val="Body"/>
      </w:pPr>
      <w:r>
        <w:t>James Reason: Managing the Risks of Organisational Accidents – 1997</w:t>
      </w:r>
    </w:p>
    <w:p w14:paraId="65735BA1" w14:textId="77777777" w:rsidR="0017525B" w:rsidRDefault="0017525B" w:rsidP="0017525B">
      <w:pPr>
        <w:pStyle w:val="Body"/>
      </w:pPr>
      <w:r>
        <w:t>Safety Wise: ICAM Investigation Guide</w:t>
      </w:r>
    </w:p>
    <w:p w14:paraId="158F1ADD" w14:textId="77777777" w:rsidR="0017525B" w:rsidRDefault="0017525B" w:rsidP="0017525B">
      <w:pPr>
        <w:pStyle w:val="Heading2"/>
      </w:pPr>
      <w:r>
        <w:t xml:space="preserve"> </w:t>
      </w:r>
      <w:bookmarkStart w:id="66" w:name="_Toc536616916"/>
      <w:bookmarkStart w:id="67" w:name="_Toc33890108"/>
      <w:bookmarkStart w:id="68" w:name="_Toc75784385"/>
      <w:r w:rsidRPr="00DD5668">
        <w:t>Attachments</w:t>
      </w:r>
      <w:bookmarkEnd w:id="66"/>
      <w:bookmarkEnd w:id="67"/>
      <w:bookmarkEnd w:id="68"/>
    </w:p>
    <w:p w14:paraId="2E064EED" w14:textId="77777777" w:rsidR="0017525B" w:rsidRDefault="0017525B" w:rsidP="0017525B">
      <w:pPr>
        <w:pStyle w:val="Body"/>
      </w:pPr>
      <w:bookmarkStart w:id="69" w:name="_Toc531603428"/>
      <w:r w:rsidRPr="00027813">
        <w:t>No attachments to this standard</w:t>
      </w:r>
      <w:bookmarkEnd w:id="69"/>
    </w:p>
    <w:p w14:paraId="430EAE3E" w14:textId="77777777" w:rsidR="0017525B" w:rsidRDefault="0017525B" w:rsidP="0017525B">
      <w:pPr>
        <w:pStyle w:val="Heading2"/>
      </w:pPr>
      <w:bookmarkStart w:id="70" w:name="_Toc33890109"/>
      <w:bookmarkStart w:id="71" w:name="_Toc75784386"/>
      <w:r>
        <w:t>Appendixes</w:t>
      </w:r>
      <w:bookmarkEnd w:id="70"/>
      <w:bookmarkEnd w:id="71"/>
      <w:r>
        <w:t xml:space="preserve"> </w:t>
      </w:r>
    </w:p>
    <w:p w14:paraId="49D963DB" w14:textId="74D8ABDF" w:rsidR="0017525B" w:rsidRPr="0017525B" w:rsidRDefault="0017525B" w:rsidP="0017525B">
      <w:pPr>
        <w:pStyle w:val="Body"/>
      </w:pPr>
      <w:r>
        <w:t>No appendixes to this standard</w:t>
      </w:r>
      <w:bookmarkEnd w:id="4"/>
    </w:p>
    <w:sectPr w:rsidR="0017525B" w:rsidRPr="0017525B" w:rsidSect="00425C25">
      <w:headerReference w:type="even" r:id="rId17"/>
      <w:headerReference w:type="default" r:id="rId18"/>
      <w:footerReference w:type="even" r:id="rId19"/>
      <w:footerReference w:type="default" r:id="rId20"/>
      <w:headerReference w:type="first" r:id="rId21"/>
      <w:footerReference w:type="first" r:id="rId22"/>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5B02" w14:textId="77777777" w:rsidR="00A40D0B" w:rsidRDefault="00A40D0B" w:rsidP="00B474B2">
      <w:r>
        <w:separator/>
      </w:r>
    </w:p>
    <w:p w14:paraId="403F5676" w14:textId="77777777" w:rsidR="00A40D0B" w:rsidRDefault="00A40D0B"/>
  </w:endnote>
  <w:endnote w:type="continuationSeparator" w:id="0">
    <w:p w14:paraId="58F5FE76" w14:textId="77777777" w:rsidR="00A40D0B" w:rsidRDefault="00A40D0B" w:rsidP="00B474B2">
      <w:r>
        <w:continuationSeparator/>
      </w:r>
    </w:p>
    <w:p w14:paraId="702FEC3A" w14:textId="77777777" w:rsidR="00A40D0B" w:rsidRDefault="00A40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E647A2" w:rsidRDefault="00E647A2"/>
  <w:p w14:paraId="322E491C" w14:textId="77777777" w:rsidR="00E647A2" w:rsidRDefault="00E647A2"/>
  <w:p w14:paraId="6C34205F" w14:textId="77777777" w:rsidR="00E647A2" w:rsidRDefault="00E647A2"/>
  <w:p w14:paraId="1E273763" w14:textId="77777777" w:rsidR="00E647A2" w:rsidRDefault="00E647A2"/>
  <w:p w14:paraId="397C764E" w14:textId="77777777" w:rsidR="00E647A2" w:rsidRDefault="00E647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E647A2" w:rsidRDefault="00E647A2"/>
  <w:p w14:paraId="00672784" w14:textId="77777777" w:rsidR="00E647A2" w:rsidRDefault="00E647A2"/>
  <w:p w14:paraId="6F4DC5CB" w14:textId="77777777" w:rsidR="00E647A2" w:rsidRDefault="00E647A2"/>
  <w:p w14:paraId="68933C4F" w14:textId="77777777" w:rsidR="00E647A2" w:rsidRDefault="00E647A2"/>
  <w:p w14:paraId="50D1EC8A" w14:textId="77777777" w:rsidR="00E647A2" w:rsidRDefault="00E647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88794B" w:rsidRPr="004921C0" w14:paraId="26134568" w14:textId="77777777" w:rsidTr="009E7F0B">
      <w:trPr>
        <w:cantSplit/>
        <w:trHeight w:val="270"/>
      </w:trPr>
      <w:tc>
        <w:tcPr>
          <w:tcW w:w="1701" w:type="dxa"/>
          <w:shd w:val="clear" w:color="auto" w:fill="auto"/>
          <w:vAlign w:val="center"/>
        </w:tcPr>
        <w:p w14:paraId="6E2CAB3D"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42B23C2B"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4ABB24F2"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08854444"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B988AD7" w14:textId="77777777" w:rsidR="0088794B" w:rsidRPr="00597AFD" w:rsidRDefault="0088794B" w:rsidP="009E7F0B">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88794B" w:rsidRPr="004921C0" w14:paraId="58849EDE" w14:textId="77777777" w:rsidTr="009E7F0B">
      <w:trPr>
        <w:cantSplit/>
        <w:trHeight w:val="214"/>
      </w:trPr>
      <w:tc>
        <w:tcPr>
          <w:tcW w:w="1701" w:type="dxa"/>
        </w:tcPr>
        <w:p w14:paraId="4C5A5E74" w14:textId="53C5EBF0" w:rsidR="0088794B" w:rsidRPr="00597AFD" w:rsidRDefault="00246358" w:rsidP="00597AFD">
          <w:pPr>
            <w:pStyle w:val="Table"/>
            <w:spacing w:before="0" w:after="0"/>
            <w:rPr>
              <w:rFonts w:asciiTheme="minorHAnsi" w:hAnsiTheme="minorHAnsi" w:cstheme="minorHAnsi"/>
            </w:rPr>
          </w:pPr>
          <w:r>
            <w:rPr>
              <w:rFonts w:asciiTheme="minorHAnsi" w:hAnsiTheme="minorHAnsi" w:cstheme="minorHAnsi"/>
            </w:rPr>
            <w:t>01</w:t>
          </w:r>
          <w:r w:rsidR="0088794B">
            <w:rPr>
              <w:rFonts w:asciiTheme="minorHAnsi" w:hAnsiTheme="minorHAnsi" w:cstheme="minorHAnsi"/>
            </w:rPr>
            <w:t xml:space="preserve"> </w:t>
          </w:r>
          <w:r>
            <w:rPr>
              <w:rFonts w:asciiTheme="minorHAnsi" w:hAnsiTheme="minorHAnsi" w:cstheme="minorHAnsi"/>
            </w:rPr>
            <w:t>July</w:t>
          </w:r>
          <w:r w:rsidR="0088794B">
            <w:rPr>
              <w:rFonts w:asciiTheme="minorHAnsi" w:hAnsiTheme="minorHAnsi" w:cstheme="minorHAnsi"/>
            </w:rPr>
            <w:t xml:space="preserve"> 202</w:t>
          </w:r>
          <w:r>
            <w:rPr>
              <w:rFonts w:asciiTheme="minorHAnsi" w:hAnsiTheme="minorHAnsi" w:cstheme="minorHAnsi"/>
            </w:rPr>
            <w:t>1</w:t>
          </w:r>
        </w:p>
      </w:tc>
      <w:tc>
        <w:tcPr>
          <w:tcW w:w="3686" w:type="dxa"/>
        </w:tcPr>
        <w:p w14:paraId="41E66068" w14:textId="77777777" w:rsidR="0088794B" w:rsidRPr="004921C0" w:rsidRDefault="0088794B" w:rsidP="00597AFD">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3E0D4E92" w14:textId="3A65BD16" w:rsidR="0088794B" w:rsidRPr="00133192" w:rsidRDefault="00325979" w:rsidP="00597AFD">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1F8C1A3F" w14:textId="2C566DA5" w:rsidR="0088794B" w:rsidRPr="00133192" w:rsidRDefault="00325979" w:rsidP="00597AFD">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5CD7A93E" w14:textId="48995175" w:rsidR="0088794B" w:rsidRPr="004921C0" w:rsidRDefault="00325979" w:rsidP="00597AFD">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w:t>
    </w:r>
    <w:proofErr w:type="gramStart"/>
    <w:r w:rsidRPr="004921C0">
      <w:rPr>
        <w:rFonts w:asciiTheme="minorHAnsi" w:hAnsiTheme="minorHAnsi" w:cstheme="minorHAnsi"/>
      </w:rPr>
      <w:t>stored</w:t>
    </w:r>
    <w:proofErr w:type="gramEnd"/>
    <w:r w:rsidRPr="004921C0">
      <w:rPr>
        <w:rFonts w:asciiTheme="minorHAnsi" w:hAnsiTheme="minorHAnsi" w:cstheme="minorHAnsi"/>
      </w:rPr>
      <w:t xml:space="preserve">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BBE5" w14:textId="77777777" w:rsidR="00A40D0B" w:rsidRDefault="00A40D0B" w:rsidP="00B474B2">
      <w:r>
        <w:separator/>
      </w:r>
    </w:p>
    <w:p w14:paraId="65C3F4DD" w14:textId="77777777" w:rsidR="00A40D0B" w:rsidRDefault="00A40D0B"/>
  </w:footnote>
  <w:footnote w:type="continuationSeparator" w:id="0">
    <w:p w14:paraId="6F8FD263" w14:textId="77777777" w:rsidR="00A40D0B" w:rsidRDefault="00A40D0B" w:rsidP="00B474B2">
      <w:r>
        <w:continuationSeparator/>
      </w:r>
    </w:p>
    <w:p w14:paraId="7B87117A" w14:textId="77777777" w:rsidR="00A40D0B" w:rsidRDefault="00A40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E647A2" w:rsidRDefault="00E647A2"/>
  <w:p w14:paraId="4961D83E" w14:textId="77777777" w:rsidR="00E647A2" w:rsidRDefault="00E647A2"/>
  <w:p w14:paraId="2CD29AA6" w14:textId="77777777" w:rsidR="00E647A2" w:rsidRDefault="00E647A2"/>
  <w:p w14:paraId="45E4D386" w14:textId="77777777" w:rsidR="00E647A2" w:rsidRDefault="00E647A2"/>
  <w:p w14:paraId="0162F48A" w14:textId="77777777" w:rsidR="00E647A2" w:rsidRDefault="00E64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3535002F"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w:t>
          </w:r>
          <w:r w:rsidR="00873A15">
            <w:rPr>
              <w:rFonts w:asciiTheme="minorHAnsi" w:hAnsiTheme="minorHAnsi" w:cstheme="minorHAnsi"/>
              <w:b/>
              <w:bCs/>
              <w:sz w:val="28"/>
              <w:szCs w:val="28"/>
              <w:lang w:val="en-GB" w:eastAsia="en-US"/>
            </w:rPr>
            <w:t>TD</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17525B">
            <w:rPr>
              <w:rFonts w:asciiTheme="minorHAnsi" w:hAnsiTheme="minorHAnsi" w:cstheme="minorHAnsi"/>
              <w:b/>
              <w:bCs/>
              <w:sz w:val="28"/>
              <w:szCs w:val="28"/>
              <w:lang w:val="en-GB" w:eastAsia="en-US"/>
            </w:rPr>
            <w:t>Incident Investigation</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795EB66B"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873A15">
            <w:rPr>
              <w:rFonts w:asciiTheme="minorHAnsi" w:hAnsiTheme="minorHAnsi" w:cstheme="minorHAnsi"/>
              <w:sz w:val="18"/>
            </w:rPr>
            <w:t>STD-0</w:t>
          </w:r>
          <w:r w:rsidR="0017525B">
            <w:rPr>
              <w:rFonts w:asciiTheme="minorHAnsi" w:hAnsiTheme="minorHAnsi" w:cstheme="minorHAnsi"/>
              <w:sz w:val="18"/>
            </w:rPr>
            <w:t>10</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6E7A97"/>
    <w:multiLevelType w:val="hybridMultilevel"/>
    <w:tmpl w:val="91D87DE2"/>
    <w:lvl w:ilvl="0" w:tplc="DBB0AF64">
      <w:numFmt w:val="bullet"/>
      <w:lvlText w:val=""/>
      <w:lvlJc w:val="left"/>
      <w:pPr>
        <w:ind w:left="424" w:hanging="284"/>
      </w:pPr>
      <w:rPr>
        <w:rFonts w:ascii="Wingdings" w:eastAsia="Wingdings" w:hAnsi="Wingdings" w:cs="Wingdings" w:hint="default"/>
        <w:w w:val="100"/>
        <w:sz w:val="16"/>
        <w:szCs w:val="16"/>
        <w:lang w:val="en-US" w:eastAsia="en-US" w:bidi="ar-SA"/>
      </w:rPr>
    </w:lvl>
    <w:lvl w:ilvl="1" w:tplc="0D688C02">
      <w:numFmt w:val="bullet"/>
      <w:lvlText w:val="•"/>
      <w:lvlJc w:val="left"/>
      <w:pPr>
        <w:ind w:left="1098" w:hanging="284"/>
      </w:pPr>
      <w:rPr>
        <w:rFonts w:hint="default"/>
        <w:lang w:val="en-US" w:eastAsia="en-US" w:bidi="ar-SA"/>
      </w:rPr>
    </w:lvl>
    <w:lvl w:ilvl="2" w:tplc="B3CC3FE0">
      <w:numFmt w:val="bullet"/>
      <w:lvlText w:val="•"/>
      <w:lvlJc w:val="left"/>
      <w:pPr>
        <w:ind w:left="1776" w:hanging="284"/>
      </w:pPr>
      <w:rPr>
        <w:rFonts w:hint="default"/>
        <w:lang w:val="en-US" w:eastAsia="en-US" w:bidi="ar-SA"/>
      </w:rPr>
    </w:lvl>
    <w:lvl w:ilvl="3" w:tplc="02F4B410">
      <w:numFmt w:val="bullet"/>
      <w:lvlText w:val="•"/>
      <w:lvlJc w:val="left"/>
      <w:pPr>
        <w:ind w:left="2454" w:hanging="284"/>
      </w:pPr>
      <w:rPr>
        <w:rFonts w:hint="default"/>
        <w:lang w:val="en-US" w:eastAsia="en-US" w:bidi="ar-SA"/>
      </w:rPr>
    </w:lvl>
    <w:lvl w:ilvl="4" w:tplc="648484CC">
      <w:numFmt w:val="bullet"/>
      <w:lvlText w:val="•"/>
      <w:lvlJc w:val="left"/>
      <w:pPr>
        <w:ind w:left="3132" w:hanging="284"/>
      </w:pPr>
      <w:rPr>
        <w:rFonts w:hint="default"/>
        <w:lang w:val="en-US" w:eastAsia="en-US" w:bidi="ar-SA"/>
      </w:rPr>
    </w:lvl>
    <w:lvl w:ilvl="5" w:tplc="25A6CC8C">
      <w:numFmt w:val="bullet"/>
      <w:lvlText w:val="•"/>
      <w:lvlJc w:val="left"/>
      <w:pPr>
        <w:ind w:left="3810" w:hanging="284"/>
      </w:pPr>
      <w:rPr>
        <w:rFonts w:hint="default"/>
        <w:lang w:val="en-US" w:eastAsia="en-US" w:bidi="ar-SA"/>
      </w:rPr>
    </w:lvl>
    <w:lvl w:ilvl="6" w:tplc="CB82E022">
      <w:numFmt w:val="bullet"/>
      <w:lvlText w:val="•"/>
      <w:lvlJc w:val="left"/>
      <w:pPr>
        <w:ind w:left="4488" w:hanging="284"/>
      </w:pPr>
      <w:rPr>
        <w:rFonts w:hint="default"/>
        <w:lang w:val="en-US" w:eastAsia="en-US" w:bidi="ar-SA"/>
      </w:rPr>
    </w:lvl>
    <w:lvl w:ilvl="7" w:tplc="38961E92">
      <w:numFmt w:val="bullet"/>
      <w:lvlText w:val="•"/>
      <w:lvlJc w:val="left"/>
      <w:pPr>
        <w:ind w:left="5166" w:hanging="284"/>
      </w:pPr>
      <w:rPr>
        <w:rFonts w:hint="default"/>
        <w:lang w:val="en-US" w:eastAsia="en-US" w:bidi="ar-SA"/>
      </w:rPr>
    </w:lvl>
    <w:lvl w:ilvl="8" w:tplc="43C8C30A">
      <w:numFmt w:val="bullet"/>
      <w:lvlText w:val="•"/>
      <w:lvlJc w:val="left"/>
      <w:pPr>
        <w:ind w:left="5844" w:hanging="284"/>
      </w:pPr>
      <w:rPr>
        <w:rFonts w:hint="default"/>
        <w:lang w:val="en-US" w:eastAsia="en-US" w:bidi="ar-SA"/>
      </w:rPr>
    </w:lvl>
  </w:abstractNum>
  <w:abstractNum w:abstractNumId="2" w15:restartNumberingAfterBreak="0">
    <w:nsid w:val="13E857D4"/>
    <w:multiLevelType w:val="hybridMultilevel"/>
    <w:tmpl w:val="5F94210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E6301B0"/>
    <w:multiLevelType w:val="hybridMultilevel"/>
    <w:tmpl w:val="C3DA1990"/>
    <w:lvl w:ilvl="0" w:tplc="0C090001">
      <w:start w:val="1"/>
      <w:numFmt w:val="bullet"/>
      <w:lvlText w:val=""/>
      <w:lvlJc w:val="left"/>
      <w:pPr>
        <w:ind w:left="651" w:hanging="360"/>
      </w:pPr>
      <w:rPr>
        <w:rFonts w:ascii="Symbol" w:hAnsi="Symbol" w:hint="default"/>
      </w:rPr>
    </w:lvl>
    <w:lvl w:ilvl="1" w:tplc="0C090003" w:tentative="1">
      <w:start w:val="1"/>
      <w:numFmt w:val="bullet"/>
      <w:lvlText w:val="o"/>
      <w:lvlJc w:val="left"/>
      <w:pPr>
        <w:ind w:left="1371" w:hanging="360"/>
      </w:pPr>
      <w:rPr>
        <w:rFonts w:ascii="Courier New" w:hAnsi="Courier New" w:cs="Courier New" w:hint="default"/>
      </w:rPr>
    </w:lvl>
    <w:lvl w:ilvl="2" w:tplc="0C090005" w:tentative="1">
      <w:start w:val="1"/>
      <w:numFmt w:val="bullet"/>
      <w:lvlText w:val=""/>
      <w:lvlJc w:val="left"/>
      <w:pPr>
        <w:ind w:left="2091" w:hanging="360"/>
      </w:pPr>
      <w:rPr>
        <w:rFonts w:ascii="Wingdings" w:hAnsi="Wingdings" w:hint="default"/>
      </w:rPr>
    </w:lvl>
    <w:lvl w:ilvl="3" w:tplc="0C090001" w:tentative="1">
      <w:start w:val="1"/>
      <w:numFmt w:val="bullet"/>
      <w:lvlText w:val=""/>
      <w:lvlJc w:val="left"/>
      <w:pPr>
        <w:ind w:left="2811" w:hanging="360"/>
      </w:pPr>
      <w:rPr>
        <w:rFonts w:ascii="Symbol" w:hAnsi="Symbol" w:hint="default"/>
      </w:rPr>
    </w:lvl>
    <w:lvl w:ilvl="4" w:tplc="0C090003" w:tentative="1">
      <w:start w:val="1"/>
      <w:numFmt w:val="bullet"/>
      <w:lvlText w:val="o"/>
      <w:lvlJc w:val="left"/>
      <w:pPr>
        <w:ind w:left="3531" w:hanging="360"/>
      </w:pPr>
      <w:rPr>
        <w:rFonts w:ascii="Courier New" w:hAnsi="Courier New" w:cs="Courier New" w:hint="default"/>
      </w:rPr>
    </w:lvl>
    <w:lvl w:ilvl="5" w:tplc="0C090005" w:tentative="1">
      <w:start w:val="1"/>
      <w:numFmt w:val="bullet"/>
      <w:lvlText w:val=""/>
      <w:lvlJc w:val="left"/>
      <w:pPr>
        <w:ind w:left="4251" w:hanging="360"/>
      </w:pPr>
      <w:rPr>
        <w:rFonts w:ascii="Wingdings" w:hAnsi="Wingdings" w:hint="default"/>
      </w:rPr>
    </w:lvl>
    <w:lvl w:ilvl="6" w:tplc="0C090001" w:tentative="1">
      <w:start w:val="1"/>
      <w:numFmt w:val="bullet"/>
      <w:lvlText w:val=""/>
      <w:lvlJc w:val="left"/>
      <w:pPr>
        <w:ind w:left="4971" w:hanging="360"/>
      </w:pPr>
      <w:rPr>
        <w:rFonts w:ascii="Symbol" w:hAnsi="Symbol" w:hint="default"/>
      </w:rPr>
    </w:lvl>
    <w:lvl w:ilvl="7" w:tplc="0C090003" w:tentative="1">
      <w:start w:val="1"/>
      <w:numFmt w:val="bullet"/>
      <w:lvlText w:val="o"/>
      <w:lvlJc w:val="left"/>
      <w:pPr>
        <w:ind w:left="5691" w:hanging="360"/>
      </w:pPr>
      <w:rPr>
        <w:rFonts w:ascii="Courier New" w:hAnsi="Courier New" w:cs="Courier New" w:hint="default"/>
      </w:rPr>
    </w:lvl>
    <w:lvl w:ilvl="8" w:tplc="0C090005" w:tentative="1">
      <w:start w:val="1"/>
      <w:numFmt w:val="bullet"/>
      <w:lvlText w:val=""/>
      <w:lvlJc w:val="left"/>
      <w:pPr>
        <w:ind w:left="6411" w:hanging="360"/>
      </w:pPr>
      <w:rPr>
        <w:rFonts w:ascii="Wingdings" w:hAnsi="Wingdings" w:hint="default"/>
      </w:rPr>
    </w:lvl>
  </w:abstractNum>
  <w:abstractNum w:abstractNumId="4" w15:restartNumberingAfterBreak="0">
    <w:nsid w:val="26CD4083"/>
    <w:multiLevelType w:val="hybridMultilevel"/>
    <w:tmpl w:val="2DDA5F74"/>
    <w:lvl w:ilvl="0" w:tplc="6C22DDA4">
      <w:numFmt w:val="bullet"/>
      <w:lvlText w:val=""/>
      <w:lvlJc w:val="left"/>
      <w:pPr>
        <w:ind w:left="424" w:hanging="284"/>
      </w:pPr>
      <w:rPr>
        <w:rFonts w:ascii="Wingdings" w:eastAsia="Wingdings" w:hAnsi="Wingdings" w:cs="Wingdings" w:hint="default"/>
        <w:w w:val="100"/>
        <w:sz w:val="16"/>
        <w:szCs w:val="16"/>
        <w:lang w:val="en-US" w:eastAsia="en-US" w:bidi="ar-SA"/>
      </w:rPr>
    </w:lvl>
    <w:lvl w:ilvl="1" w:tplc="6226E5C8">
      <w:numFmt w:val="bullet"/>
      <w:lvlText w:val="•"/>
      <w:lvlJc w:val="left"/>
      <w:pPr>
        <w:ind w:left="1098" w:hanging="284"/>
      </w:pPr>
      <w:rPr>
        <w:rFonts w:hint="default"/>
        <w:lang w:val="en-US" w:eastAsia="en-US" w:bidi="ar-SA"/>
      </w:rPr>
    </w:lvl>
    <w:lvl w:ilvl="2" w:tplc="D60C2652">
      <w:numFmt w:val="bullet"/>
      <w:lvlText w:val="•"/>
      <w:lvlJc w:val="left"/>
      <w:pPr>
        <w:ind w:left="1776" w:hanging="284"/>
      </w:pPr>
      <w:rPr>
        <w:rFonts w:hint="default"/>
        <w:lang w:val="en-US" w:eastAsia="en-US" w:bidi="ar-SA"/>
      </w:rPr>
    </w:lvl>
    <w:lvl w:ilvl="3" w:tplc="598CC52A">
      <w:numFmt w:val="bullet"/>
      <w:lvlText w:val="•"/>
      <w:lvlJc w:val="left"/>
      <w:pPr>
        <w:ind w:left="2454" w:hanging="284"/>
      </w:pPr>
      <w:rPr>
        <w:rFonts w:hint="default"/>
        <w:lang w:val="en-US" w:eastAsia="en-US" w:bidi="ar-SA"/>
      </w:rPr>
    </w:lvl>
    <w:lvl w:ilvl="4" w:tplc="85E4F21E">
      <w:numFmt w:val="bullet"/>
      <w:lvlText w:val="•"/>
      <w:lvlJc w:val="left"/>
      <w:pPr>
        <w:ind w:left="3132" w:hanging="284"/>
      </w:pPr>
      <w:rPr>
        <w:rFonts w:hint="default"/>
        <w:lang w:val="en-US" w:eastAsia="en-US" w:bidi="ar-SA"/>
      </w:rPr>
    </w:lvl>
    <w:lvl w:ilvl="5" w:tplc="0A6AD128">
      <w:numFmt w:val="bullet"/>
      <w:lvlText w:val="•"/>
      <w:lvlJc w:val="left"/>
      <w:pPr>
        <w:ind w:left="3810" w:hanging="284"/>
      </w:pPr>
      <w:rPr>
        <w:rFonts w:hint="default"/>
        <w:lang w:val="en-US" w:eastAsia="en-US" w:bidi="ar-SA"/>
      </w:rPr>
    </w:lvl>
    <w:lvl w:ilvl="6" w:tplc="8CBEFCB8">
      <w:numFmt w:val="bullet"/>
      <w:lvlText w:val="•"/>
      <w:lvlJc w:val="left"/>
      <w:pPr>
        <w:ind w:left="4488" w:hanging="284"/>
      </w:pPr>
      <w:rPr>
        <w:rFonts w:hint="default"/>
        <w:lang w:val="en-US" w:eastAsia="en-US" w:bidi="ar-SA"/>
      </w:rPr>
    </w:lvl>
    <w:lvl w:ilvl="7" w:tplc="DE0066C8">
      <w:numFmt w:val="bullet"/>
      <w:lvlText w:val="•"/>
      <w:lvlJc w:val="left"/>
      <w:pPr>
        <w:ind w:left="5166" w:hanging="284"/>
      </w:pPr>
      <w:rPr>
        <w:rFonts w:hint="default"/>
        <w:lang w:val="en-US" w:eastAsia="en-US" w:bidi="ar-SA"/>
      </w:rPr>
    </w:lvl>
    <w:lvl w:ilvl="8" w:tplc="9B4A0312">
      <w:numFmt w:val="bullet"/>
      <w:lvlText w:val="•"/>
      <w:lvlJc w:val="left"/>
      <w:pPr>
        <w:ind w:left="5844" w:hanging="284"/>
      </w:pPr>
      <w:rPr>
        <w:rFonts w:hint="default"/>
        <w:lang w:val="en-US" w:eastAsia="en-US" w:bidi="ar-SA"/>
      </w:rPr>
    </w:lvl>
  </w:abstractNum>
  <w:abstractNum w:abstractNumId="5"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2E12419"/>
    <w:multiLevelType w:val="hybridMultilevel"/>
    <w:tmpl w:val="274CFD06"/>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7" w15:restartNumberingAfterBreak="0">
    <w:nsid w:val="3BE90DC5"/>
    <w:multiLevelType w:val="hybridMultilevel"/>
    <w:tmpl w:val="C2F251A4"/>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5C0270F"/>
    <w:multiLevelType w:val="hybridMultilevel"/>
    <w:tmpl w:val="2D7EB6EC"/>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8A63D13"/>
    <w:multiLevelType w:val="hybridMultilevel"/>
    <w:tmpl w:val="749C1CB2"/>
    <w:lvl w:ilvl="0" w:tplc="411C2082">
      <w:numFmt w:val="bullet"/>
      <w:lvlText w:val=""/>
      <w:lvlJc w:val="left"/>
      <w:pPr>
        <w:ind w:left="424" w:hanging="284"/>
      </w:pPr>
      <w:rPr>
        <w:rFonts w:ascii="Wingdings" w:eastAsia="Wingdings" w:hAnsi="Wingdings" w:cs="Wingdings" w:hint="default"/>
        <w:w w:val="100"/>
        <w:sz w:val="16"/>
        <w:szCs w:val="16"/>
        <w:lang w:val="en-US" w:eastAsia="en-US" w:bidi="ar-SA"/>
      </w:rPr>
    </w:lvl>
    <w:lvl w:ilvl="1" w:tplc="8F923B78">
      <w:numFmt w:val="bullet"/>
      <w:lvlText w:val="•"/>
      <w:lvlJc w:val="left"/>
      <w:pPr>
        <w:ind w:left="1098" w:hanging="284"/>
      </w:pPr>
      <w:rPr>
        <w:rFonts w:hint="default"/>
        <w:lang w:val="en-US" w:eastAsia="en-US" w:bidi="ar-SA"/>
      </w:rPr>
    </w:lvl>
    <w:lvl w:ilvl="2" w:tplc="BD585E62">
      <w:numFmt w:val="bullet"/>
      <w:lvlText w:val="•"/>
      <w:lvlJc w:val="left"/>
      <w:pPr>
        <w:ind w:left="1776" w:hanging="284"/>
      </w:pPr>
      <w:rPr>
        <w:rFonts w:hint="default"/>
        <w:lang w:val="en-US" w:eastAsia="en-US" w:bidi="ar-SA"/>
      </w:rPr>
    </w:lvl>
    <w:lvl w:ilvl="3" w:tplc="69F8CD22">
      <w:numFmt w:val="bullet"/>
      <w:lvlText w:val="•"/>
      <w:lvlJc w:val="left"/>
      <w:pPr>
        <w:ind w:left="2454" w:hanging="284"/>
      </w:pPr>
      <w:rPr>
        <w:rFonts w:hint="default"/>
        <w:lang w:val="en-US" w:eastAsia="en-US" w:bidi="ar-SA"/>
      </w:rPr>
    </w:lvl>
    <w:lvl w:ilvl="4" w:tplc="3B4C324A">
      <w:numFmt w:val="bullet"/>
      <w:lvlText w:val="•"/>
      <w:lvlJc w:val="left"/>
      <w:pPr>
        <w:ind w:left="3132" w:hanging="284"/>
      </w:pPr>
      <w:rPr>
        <w:rFonts w:hint="default"/>
        <w:lang w:val="en-US" w:eastAsia="en-US" w:bidi="ar-SA"/>
      </w:rPr>
    </w:lvl>
    <w:lvl w:ilvl="5" w:tplc="B00E7F02">
      <w:numFmt w:val="bullet"/>
      <w:lvlText w:val="•"/>
      <w:lvlJc w:val="left"/>
      <w:pPr>
        <w:ind w:left="3810" w:hanging="284"/>
      </w:pPr>
      <w:rPr>
        <w:rFonts w:hint="default"/>
        <w:lang w:val="en-US" w:eastAsia="en-US" w:bidi="ar-SA"/>
      </w:rPr>
    </w:lvl>
    <w:lvl w:ilvl="6" w:tplc="D82CD20C">
      <w:numFmt w:val="bullet"/>
      <w:lvlText w:val="•"/>
      <w:lvlJc w:val="left"/>
      <w:pPr>
        <w:ind w:left="4488" w:hanging="284"/>
      </w:pPr>
      <w:rPr>
        <w:rFonts w:hint="default"/>
        <w:lang w:val="en-US" w:eastAsia="en-US" w:bidi="ar-SA"/>
      </w:rPr>
    </w:lvl>
    <w:lvl w:ilvl="7" w:tplc="D4AA07B6">
      <w:numFmt w:val="bullet"/>
      <w:lvlText w:val="•"/>
      <w:lvlJc w:val="left"/>
      <w:pPr>
        <w:ind w:left="5166" w:hanging="284"/>
      </w:pPr>
      <w:rPr>
        <w:rFonts w:hint="default"/>
        <w:lang w:val="en-US" w:eastAsia="en-US" w:bidi="ar-SA"/>
      </w:rPr>
    </w:lvl>
    <w:lvl w:ilvl="8" w:tplc="51F4695C">
      <w:numFmt w:val="bullet"/>
      <w:lvlText w:val="•"/>
      <w:lvlJc w:val="left"/>
      <w:pPr>
        <w:ind w:left="5844" w:hanging="284"/>
      </w:pPr>
      <w:rPr>
        <w:rFonts w:hint="default"/>
        <w:lang w:val="en-US" w:eastAsia="en-US" w:bidi="ar-SA"/>
      </w:rPr>
    </w:lvl>
  </w:abstractNum>
  <w:abstractNum w:abstractNumId="10"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2"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73A25148"/>
    <w:multiLevelType w:val="hybridMultilevel"/>
    <w:tmpl w:val="352AF108"/>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3"/>
  </w:num>
  <w:num w:numId="2">
    <w:abstractNumId w:val="10"/>
  </w:num>
  <w:num w:numId="3">
    <w:abstractNumId w:val="12"/>
  </w:num>
  <w:num w:numId="4">
    <w:abstractNumId w:val="0"/>
  </w:num>
  <w:num w:numId="5">
    <w:abstractNumId w:val="11"/>
  </w:num>
  <w:num w:numId="6">
    <w:abstractNumId w:val="16"/>
  </w:num>
  <w:num w:numId="7">
    <w:abstractNumId w:val="14"/>
  </w:num>
  <w:num w:numId="8">
    <w:abstractNumId w:val="5"/>
  </w:num>
  <w:num w:numId="9">
    <w:abstractNumId w:val="3"/>
  </w:num>
  <w:num w:numId="10">
    <w:abstractNumId w:val="7"/>
  </w:num>
  <w:num w:numId="11">
    <w:abstractNumId w:val="15"/>
  </w:num>
  <w:num w:numId="12">
    <w:abstractNumId w:val="8"/>
  </w:num>
  <w:num w:numId="13">
    <w:abstractNumId w:val="2"/>
  </w:num>
  <w:num w:numId="14">
    <w:abstractNumId w:val="6"/>
  </w:num>
  <w:num w:numId="15">
    <w:abstractNumId w:val="1"/>
  </w:num>
  <w:num w:numId="16">
    <w:abstractNumId w:val="4"/>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B7E5D"/>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135A"/>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5B"/>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177"/>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5979"/>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6EC7"/>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779"/>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279CE"/>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86C05"/>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29"/>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0C8D"/>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3A15"/>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6C9A"/>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354B"/>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3DBD"/>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6C5"/>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0D0B"/>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0BC"/>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4F5B"/>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011"/>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0B"/>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52A"/>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B25"/>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4C2E"/>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7A2"/>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1B36"/>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39CC"/>
    <w:rsid w:val="00F45ADA"/>
    <w:rsid w:val="00F45DDC"/>
    <w:rsid w:val="00F477BC"/>
    <w:rsid w:val="00F47F35"/>
    <w:rsid w:val="00F501BC"/>
    <w:rsid w:val="00F5084C"/>
    <w:rsid w:val="00F50EBC"/>
    <w:rsid w:val="00F51083"/>
    <w:rsid w:val="00F53549"/>
    <w:rsid w:val="00F53802"/>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qFormat/>
    <w:rsid w:val="009E6C78"/>
    <w:pPr>
      <w:spacing w:before="40" w:after="40"/>
    </w:pPr>
    <w:rPr>
      <w:sz w:val="16"/>
      <w:lang w:val="en-GB" w:eastAsia="en-US"/>
    </w:rPr>
  </w:style>
  <w:style w:type="character" w:styleId="CommentReference">
    <w:name w:val="annotation reference"/>
    <w:uiPriority w:val="99"/>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qFormat/>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qFormat/>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qFormat/>
    <w:rsid w:val="00634B85"/>
    <w:pPr>
      <w:numPr>
        <w:numId w:val="8"/>
      </w:numPr>
      <w:tabs>
        <w:tab w:val="left" w:pos="1701"/>
      </w:tabs>
      <w:ind w:left="1701" w:hanging="567"/>
    </w:pPr>
  </w:style>
  <w:style w:type="character" w:customStyle="1" w:styleId="Bullets2Char">
    <w:name w:val="Bullets 2 Char"/>
    <w:link w:val="Bullets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 w:type="paragraph" w:customStyle="1" w:styleId="TableParagraph">
    <w:name w:val="Table Paragraph"/>
    <w:basedOn w:val="Normal"/>
    <w:uiPriority w:val="1"/>
    <w:qFormat/>
    <w:rsid w:val="0017525B"/>
    <w:pPr>
      <w:widowControl w:val="0"/>
      <w:autoSpaceDE w:val="0"/>
      <w:autoSpaceDN w:val="0"/>
      <w:ind w:left="107"/>
      <w:jc w:val="left"/>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ir.qld.gov.au/pls/apex_ep/f?p=120:100:554409099607701::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ebgis.dme.qld.gov.au/mir/incident_form.ph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gis.dme.qld.gov.au/mir/monthly_summary_form.ph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2.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3.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5.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6.xml><?xml version="1.0" encoding="utf-8"?>
<ds:datastoreItem xmlns:ds="http://schemas.openxmlformats.org/officeDocument/2006/customXml" ds:itemID="{3E9B23DD-13F6-4049-B462-0C7ECA19B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STD-001 Leadership and Accountability Standard</vt:lpstr>
    </vt:vector>
  </TitlesOfParts>
  <LinksUpToDate>false</LinksUpToDate>
  <CharactersWithSpaces>35872</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2021-06-28T04:46:00Z</dcterms:created>
  <dcterms:modified xsi:type="dcterms:W3CDTF">2021-06-28T04:52:00Z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